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D1" w:rsidRPr="00833CB9" w:rsidRDefault="007309D1" w:rsidP="007309D1">
      <w:pPr>
        <w:rPr>
          <w:sz w:val="22"/>
          <w:lang w:val="en-GB"/>
        </w:rPr>
      </w:pPr>
      <w:bookmarkStart w:id="0" w:name="_GoBack"/>
      <w:bookmarkEnd w:id="0"/>
    </w:p>
    <w:tbl>
      <w:tblPr>
        <w:tblW w:w="908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1"/>
      </w:tblGrid>
      <w:tr w:rsidR="007309D1" w:rsidRPr="00833CB9" w:rsidTr="00FA2E37">
        <w:trPr>
          <w:cantSplit/>
          <w:trHeight w:val="815"/>
        </w:trPr>
        <w:tc>
          <w:tcPr>
            <w:tcW w:w="9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09D1" w:rsidRPr="00833CB9" w:rsidRDefault="007309D1" w:rsidP="00833CB9">
            <w:pPr>
              <w:ind w:left="-284" w:right="142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833CB9">
              <w:rPr>
                <w:sz w:val="22"/>
                <w:lang w:val="en-GB"/>
              </w:rPr>
              <w:br w:type="page"/>
            </w:r>
            <w:r w:rsidRPr="00833CB9">
              <w:rPr>
                <w:sz w:val="22"/>
                <w:lang w:val="en-GB"/>
              </w:rPr>
              <w:br w:type="page"/>
            </w:r>
            <w:r w:rsidRPr="00833CB9">
              <w:rPr>
                <w:lang w:val="en-GB"/>
              </w:rPr>
              <w:br w:type="page"/>
            </w:r>
            <w:r w:rsidRPr="00833CB9">
              <w:rPr>
                <w:bCs/>
                <w:i/>
                <w:sz w:val="24"/>
                <w:szCs w:val="24"/>
                <w:lang w:val="en-GB"/>
              </w:rPr>
              <w:t>Title and Code of Course</w:t>
            </w:r>
            <w:r w:rsidRPr="00833CB9">
              <w:rPr>
                <w:bCs/>
                <w:sz w:val="24"/>
                <w:szCs w:val="24"/>
                <w:lang w:val="en-GB"/>
              </w:rPr>
              <w:t xml:space="preserve">: </w:t>
            </w:r>
            <w:r w:rsidR="00833CB9" w:rsidRPr="00FC694E">
              <w:rPr>
                <w:b/>
                <w:sz w:val="24"/>
                <w:szCs w:val="24"/>
                <w:lang w:val="en-GB"/>
              </w:rPr>
              <w:t xml:space="preserve">British History I: </w:t>
            </w:r>
            <w:r w:rsidR="00833CB9" w:rsidRPr="00FC694E">
              <w:rPr>
                <w:b/>
                <w:bCs/>
                <w:sz w:val="24"/>
                <w:szCs w:val="24"/>
                <w:lang w:val="en-GB"/>
              </w:rPr>
              <w:t xml:space="preserve">From the Age of </w:t>
            </w:r>
            <w:r w:rsidR="00833CB9">
              <w:rPr>
                <w:b/>
                <w:bCs/>
                <w:sz w:val="24"/>
                <w:szCs w:val="24"/>
                <w:lang w:val="en-GB"/>
              </w:rPr>
              <w:t xml:space="preserve">the </w:t>
            </w:r>
            <w:r w:rsidR="00833CB9" w:rsidRPr="00FC694E">
              <w:rPr>
                <w:b/>
                <w:bCs/>
                <w:sz w:val="24"/>
                <w:szCs w:val="24"/>
                <w:lang w:val="en-GB"/>
              </w:rPr>
              <w:t>Celts to the Napoleonic Wars</w:t>
            </w:r>
            <w:r w:rsidR="002F6369">
              <w:rPr>
                <w:b/>
                <w:bCs/>
                <w:sz w:val="24"/>
                <w:szCs w:val="24"/>
                <w:lang w:val="en-GB"/>
              </w:rPr>
              <w:t xml:space="preserve"> ERPB-BAN 2210</w:t>
            </w:r>
          </w:p>
        </w:tc>
      </w:tr>
      <w:tr w:rsidR="007309D1" w:rsidRPr="00833CB9" w:rsidTr="00FA2E37">
        <w:trPr>
          <w:cantSplit/>
          <w:trHeight w:val="792"/>
        </w:trPr>
        <w:tc>
          <w:tcPr>
            <w:tcW w:w="9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09D1" w:rsidRPr="00833CB9" w:rsidRDefault="007309D1" w:rsidP="00833CB9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  <w:lang w:val="en-GB"/>
              </w:rPr>
            </w:pPr>
            <w:r w:rsidRPr="00833CB9">
              <w:rPr>
                <w:bCs/>
                <w:i/>
                <w:sz w:val="24"/>
                <w:lang w:val="en-GB"/>
              </w:rPr>
              <w:t>Instructor’s Name</w:t>
            </w:r>
            <w:r w:rsidRPr="00833CB9">
              <w:rPr>
                <w:bCs/>
                <w:sz w:val="24"/>
                <w:lang w:val="en-GB"/>
              </w:rPr>
              <w:t xml:space="preserve">: </w:t>
            </w:r>
            <w:proofErr w:type="spellStart"/>
            <w:r w:rsidR="00833CB9">
              <w:rPr>
                <w:bCs/>
                <w:sz w:val="24"/>
                <w:lang w:val="en-GB"/>
              </w:rPr>
              <w:t>Dr.</w:t>
            </w:r>
            <w:proofErr w:type="spellEnd"/>
            <w:r w:rsidR="00833CB9">
              <w:rPr>
                <w:bCs/>
                <w:sz w:val="24"/>
                <w:lang w:val="en-GB"/>
              </w:rPr>
              <w:t xml:space="preserve"> Erzsébet Stróbl </w:t>
            </w:r>
          </w:p>
        </w:tc>
      </w:tr>
      <w:tr w:rsidR="007309D1" w:rsidRPr="00833CB9" w:rsidTr="00FA2E37">
        <w:trPr>
          <w:cantSplit/>
          <w:trHeight w:val="792"/>
        </w:trPr>
        <w:tc>
          <w:tcPr>
            <w:tcW w:w="9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09D1" w:rsidRPr="00833CB9" w:rsidRDefault="007309D1" w:rsidP="00D16F24">
            <w:pPr>
              <w:keepNext/>
              <w:spacing w:before="240" w:after="240"/>
              <w:outlineLvl w:val="2"/>
              <w:rPr>
                <w:bCs/>
                <w:sz w:val="24"/>
                <w:lang w:val="en-GB"/>
              </w:rPr>
            </w:pPr>
            <w:r w:rsidRPr="00833CB9">
              <w:rPr>
                <w:bCs/>
                <w:i/>
                <w:sz w:val="24"/>
                <w:lang w:val="en-GB"/>
              </w:rPr>
              <w:t>Instructor’s Email Address</w:t>
            </w:r>
            <w:r w:rsidRPr="00833CB9">
              <w:rPr>
                <w:bCs/>
                <w:sz w:val="24"/>
                <w:lang w:val="en-GB"/>
              </w:rPr>
              <w:t xml:space="preserve">: </w:t>
            </w:r>
            <w:r w:rsidR="00833CB9">
              <w:rPr>
                <w:bCs/>
                <w:sz w:val="24"/>
                <w:lang w:val="en-GB"/>
              </w:rPr>
              <w:t>erzsebet.strobl@gmail.com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FA2E37" w:rsidRPr="00833CB9" w:rsidTr="00FA2E37">
              <w:tc>
                <w:tcPr>
                  <w:tcW w:w="2154" w:type="dxa"/>
                  <w:shd w:val="clear" w:color="auto" w:fill="auto"/>
                </w:tcPr>
                <w:p w:rsidR="00FA2E37" w:rsidRPr="00833CB9" w:rsidRDefault="00FA2E37" w:rsidP="00D16F2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833CB9">
                    <w:rPr>
                      <w:bCs/>
                      <w:sz w:val="24"/>
                      <w:lang w:val="en-GB"/>
                    </w:rPr>
                    <w:t>Credit Point Value:</w:t>
                  </w:r>
                </w:p>
                <w:p w:rsidR="00FA2E37" w:rsidRPr="00833CB9" w:rsidRDefault="00FA2E37" w:rsidP="00D16F2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>
                    <w:rPr>
                      <w:b/>
                      <w:bCs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FA2E37" w:rsidRPr="00833CB9" w:rsidRDefault="00FA2E37" w:rsidP="00D16F2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833CB9">
                    <w:rPr>
                      <w:bCs/>
                      <w:sz w:val="24"/>
                      <w:lang w:val="en-GB"/>
                    </w:rPr>
                    <w:t xml:space="preserve">Number of Lessons per Week:       </w:t>
                  </w:r>
                  <w:r w:rsidRPr="00833CB9">
                    <w:rPr>
                      <w:b/>
                      <w:bCs/>
                      <w:sz w:val="24"/>
                      <w:lang w:val="en-GB"/>
                    </w:rPr>
                    <w:t>2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FA2E37" w:rsidRDefault="00FA2E37">
                  <w:pPr>
                    <w:keepNext/>
                    <w:spacing w:before="60" w:after="60" w:line="276" w:lineRule="auto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>
                    <w:rPr>
                      <w:bCs/>
                      <w:sz w:val="24"/>
                    </w:rPr>
                    <w:t>Type</w:t>
                  </w:r>
                  <w:proofErr w:type="spellEnd"/>
                  <w:r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>
                    <w:rPr>
                      <w:bCs/>
                      <w:sz w:val="24"/>
                    </w:rPr>
                    <w:t>Course</w:t>
                  </w:r>
                  <w:proofErr w:type="spellEnd"/>
                  <w:r>
                    <w:rPr>
                      <w:bCs/>
                      <w:sz w:val="24"/>
                    </w:rPr>
                    <w:t>:</w:t>
                  </w:r>
                </w:p>
                <w:p w:rsidR="00FA2E37" w:rsidRDefault="00FA2E37">
                  <w:pPr>
                    <w:keepNext/>
                    <w:spacing w:before="60" w:after="60" w:line="276" w:lineRule="auto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FA2E37" w:rsidRDefault="00FA2E37">
                  <w:pPr>
                    <w:keepNext/>
                    <w:spacing w:before="60" w:after="60" w:line="276" w:lineRule="auto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FA2E37" w:rsidRDefault="00FA2E37">
                  <w:pPr>
                    <w:keepNext/>
                    <w:spacing w:before="60" w:after="60" w:line="276" w:lineRule="auto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>
                    <w:rPr>
                      <w:bCs/>
                      <w:sz w:val="24"/>
                    </w:rPr>
                    <w:t>Method</w:t>
                  </w:r>
                  <w:proofErr w:type="spellEnd"/>
                  <w:r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>
                    <w:rPr>
                      <w:bCs/>
                      <w:sz w:val="24"/>
                    </w:rPr>
                    <w:t>Evaluation</w:t>
                  </w:r>
                  <w:proofErr w:type="spellEnd"/>
                  <w:r>
                    <w:rPr>
                      <w:bCs/>
                      <w:sz w:val="24"/>
                    </w:rPr>
                    <w:t>:</w:t>
                  </w:r>
                </w:p>
                <w:p w:rsidR="00FA2E37" w:rsidRDefault="00FA2E37">
                  <w:pPr>
                    <w:keepNext/>
                    <w:spacing w:before="60" w:after="60" w:line="276" w:lineRule="auto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FA2E37" w:rsidRDefault="00FA2E37">
                  <w:pPr>
                    <w:keepNext/>
                    <w:spacing w:before="60" w:after="60" w:line="276" w:lineRule="auto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In-Class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FA2E37" w:rsidRDefault="00FA2E37">
                  <w:pPr>
                    <w:keepNext/>
                    <w:spacing w:before="60" w:after="60" w:line="276" w:lineRule="auto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☒</w:t>
                      </w:r>
                    </w:sdtContent>
                  </w:sdt>
                </w:p>
              </w:tc>
            </w:tr>
          </w:tbl>
          <w:p w:rsidR="007309D1" w:rsidRPr="00833CB9" w:rsidRDefault="007309D1" w:rsidP="00D16F24">
            <w:pPr>
              <w:keepNext/>
              <w:spacing w:before="60" w:after="60"/>
              <w:outlineLvl w:val="2"/>
              <w:rPr>
                <w:bCs/>
                <w:sz w:val="24"/>
                <w:lang w:val="en-GB"/>
              </w:rPr>
            </w:pPr>
          </w:p>
        </w:tc>
      </w:tr>
      <w:tr w:rsidR="007309D1" w:rsidRPr="00833CB9" w:rsidTr="00FA2E37">
        <w:trPr>
          <w:cantSplit/>
          <w:trHeight w:val="2116"/>
        </w:trPr>
        <w:tc>
          <w:tcPr>
            <w:tcW w:w="9081" w:type="dxa"/>
          </w:tcPr>
          <w:p w:rsidR="007309D1" w:rsidRPr="00833CB9" w:rsidRDefault="007309D1" w:rsidP="00D16F24">
            <w:pPr>
              <w:rPr>
                <w:b/>
                <w:sz w:val="24"/>
                <w:lang w:val="en-GB"/>
              </w:rPr>
            </w:pPr>
            <w:r w:rsidRPr="00833CB9">
              <w:rPr>
                <w:b/>
                <w:sz w:val="24"/>
                <w:lang w:val="en-GB"/>
              </w:rPr>
              <w:t>Course Description:</w:t>
            </w:r>
          </w:p>
          <w:p w:rsidR="007309D1" w:rsidRPr="00833CB9" w:rsidRDefault="007309D1" w:rsidP="0084223B">
            <w:pPr>
              <w:spacing w:after="120"/>
              <w:jc w:val="both"/>
              <w:rPr>
                <w:sz w:val="24"/>
                <w:lang w:val="en-GB"/>
              </w:rPr>
            </w:pPr>
            <w:r w:rsidRPr="00833CB9">
              <w:rPr>
                <w:bCs/>
                <w:sz w:val="24"/>
                <w:szCs w:val="24"/>
                <w:lang w:val="en-GB"/>
              </w:rPr>
              <w:t xml:space="preserve">The aim of this </w:t>
            </w:r>
            <w:r w:rsidR="0084223B">
              <w:rPr>
                <w:bCs/>
                <w:sz w:val="24"/>
                <w:szCs w:val="24"/>
                <w:lang w:val="en-GB"/>
              </w:rPr>
              <w:t xml:space="preserve">survey </w:t>
            </w:r>
            <w:r w:rsidRPr="00833CB9">
              <w:rPr>
                <w:bCs/>
                <w:sz w:val="24"/>
                <w:szCs w:val="24"/>
                <w:lang w:val="en-GB"/>
              </w:rPr>
              <w:t xml:space="preserve">course is to introduce </w:t>
            </w:r>
            <w:r w:rsidR="00833CB9">
              <w:rPr>
                <w:bCs/>
                <w:sz w:val="24"/>
                <w:szCs w:val="24"/>
                <w:lang w:val="en-GB"/>
              </w:rPr>
              <w:t>British history to students</w:t>
            </w:r>
            <w:r w:rsidRPr="00833CB9">
              <w:rPr>
                <w:bCs/>
                <w:sz w:val="24"/>
                <w:szCs w:val="24"/>
                <w:lang w:val="en-GB"/>
              </w:rPr>
              <w:t xml:space="preserve"> from the Celtic period up to the end of the Napoleonic Wars (1815</w:t>
            </w:r>
            <w:r w:rsidR="00833CB9">
              <w:rPr>
                <w:bCs/>
                <w:sz w:val="24"/>
                <w:szCs w:val="24"/>
                <w:lang w:val="en-GB"/>
              </w:rPr>
              <w:t xml:space="preserve">). Based on </w:t>
            </w:r>
            <w:r w:rsidRPr="00833CB9">
              <w:rPr>
                <w:bCs/>
                <w:sz w:val="24"/>
                <w:szCs w:val="24"/>
                <w:lang w:val="en-GB"/>
              </w:rPr>
              <w:t xml:space="preserve">the framework of political history, the course </w:t>
            </w:r>
            <w:r w:rsidR="0084223B">
              <w:rPr>
                <w:bCs/>
                <w:sz w:val="24"/>
                <w:szCs w:val="24"/>
                <w:lang w:val="en-GB"/>
              </w:rPr>
              <w:t xml:space="preserve">also </w:t>
            </w:r>
            <w:r w:rsidRPr="00833CB9">
              <w:rPr>
                <w:bCs/>
                <w:sz w:val="24"/>
                <w:szCs w:val="24"/>
                <w:lang w:val="en-GB"/>
              </w:rPr>
              <w:t xml:space="preserve">presents the underlying economic, cultural, social and philosophical realities </w:t>
            </w:r>
            <w:r w:rsidR="0084223B">
              <w:rPr>
                <w:bCs/>
                <w:sz w:val="24"/>
                <w:szCs w:val="24"/>
                <w:lang w:val="en-GB"/>
              </w:rPr>
              <w:t>of the most iconic periods of British history</w:t>
            </w:r>
            <w:r w:rsidRPr="00833CB9">
              <w:rPr>
                <w:bCs/>
                <w:sz w:val="24"/>
                <w:szCs w:val="24"/>
                <w:lang w:val="en-GB"/>
              </w:rPr>
              <w:t xml:space="preserve">. </w:t>
            </w:r>
            <w:r w:rsidR="0084223B">
              <w:rPr>
                <w:bCs/>
                <w:sz w:val="24"/>
                <w:szCs w:val="24"/>
                <w:lang w:val="en-GB"/>
              </w:rPr>
              <w:t>T</w:t>
            </w:r>
            <w:r w:rsidRPr="00833CB9">
              <w:rPr>
                <w:bCs/>
                <w:sz w:val="24"/>
                <w:szCs w:val="24"/>
                <w:lang w:val="en-GB"/>
              </w:rPr>
              <w:t xml:space="preserve">he course </w:t>
            </w:r>
            <w:r w:rsidR="0084223B">
              <w:rPr>
                <w:bCs/>
                <w:sz w:val="24"/>
                <w:szCs w:val="24"/>
                <w:lang w:val="en-GB"/>
              </w:rPr>
              <w:t>aims to enhance students’ skills in reading and interpreting primary sources and encourages them to form their own opinion and ideas about historical documents and cultural artefacts.</w:t>
            </w:r>
          </w:p>
        </w:tc>
      </w:tr>
      <w:tr w:rsidR="007309D1" w:rsidRPr="00833CB9" w:rsidTr="00FA2E37">
        <w:trPr>
          <w:cantSplit/>
          <w:trHeight w:val="315"/>
        </w:trPr>
        <w:tc>
          <w:tcPr>
            <w:tcW w:w="9081" w:type="dxa"/>
          </w:tcPr>
          <w:p w:rsidR="007309D1" w:rsidRPr="00833CB9" w:rsidRDefault="007309D1" w:rsidP="00D16F24">
            <w:pPr>
              <w:rPr>
                <w:b/>
                <w:sz w:val="24"/>
                <w:lang w:val="en-GB"/>
              </w:rPr>
            </w:pPr>
            <w:r w:rsidRPr="00833CB9">
              <w:rPr>
                <w:b/>
                <w:sz w:val="24"/>
                <w:lang w:val="en-GB"/>
              </w:rPr>
              <w:t>Bibliography:</w:t>
            </w:r>
          </w:p>
          <w:p w:rsidR="00833CB9" w:rsidRPr="00833CB9" w:rsidRDefault="00833CB9" w:rsidP="00833CB9">
            <w:pPr>
              <w:rPr>
                <w:i/>
                <w:iCs/>
                <w:sz w:val="24"/>
                <w:szCs w:val="24"/>
                <w:lang w:val="en-GB"/>
              </w:rPr>
            </w:pPr>
            <w:r w:rsidRPr="00833CB9">
              <w:rPr>
                <w:sz w:val="24"/>
                <w:szCs w:val="24"/>
                <w:lang w:val="en-GB"/>
              </w:rPr>
              <w:t>Erzsébet Stróbl.</w:t>
            </w:r>
            <w:r w:rsidRPr="00833CB9">
              <w:rPr>
                <w:i/>
                <w:sz w:val="24"/>
                <w:szCs w:val="24"/>
                <w:lang w:val="en-GB"/>
              </w:rPr>
              <w:t xml:space="preserve"> Primary Sources for Course BAN 2210. </w:t>
            </w:r>
            <w:r w:rsidR="00FA2E37">
              <w:rPr>
                <w:sz w:val="24"/>
                <w:szCs w:val="24"/>
                <w:lang w:val="en-GB"/>
              </w:rPr>
              <w:t>2017</w:t>
            </w:r>
            <w:r w:rsidR="007309D1" w:rsidRPr="00833CB9">
              <w:rPr>
                <w:bCs/>
                <w:sz w:val="24"/>
                <w:szCs w:val="24"/>
                <w:lang w:val="en-GB"/>
              </w:rPr>
              <w:t>.</w:t>
            </w:r>
            <w:r w:rsidR="007309D1" w:rsidRPr="00833CB9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</w:p>
          <w:p w:rsidR="00833CB9" w:rsidRPr="00833CB9" w:rsidRDefault="00833CB9" w:rsidP="00833CB9">
            <w:pPr>
              <w:rPr>
                <w:bCs/>
                <w:sz w:val="24"/>
                <w:szCs w:val="24"/>
                <w:lang w:val="en-GB"/>
              </w:rPr>
            </w:pPr>
            <w:r w:rsidRPr="00833CB9">
              <w:rPr>
                <w:bCs/>
                <w:sz w:val="24"/>
                <w:szCs w:val="24"/>
                <w:lang w:val="en-GB"/>
              </w:rPr>
              <w:t xml:space="preserve">David </w:t>
            </w:r>
            <w:proofErr w:type="spellStart"/>
            <w:r w:rsidRPr="00833CB9">
              <w:rPr>
                <w:bCs/>
                <w:sz w:val="24"/>
                <w:szCs w:val="24"/>
                <w:lang w:val="en-GB"/>
              </w:rPr>
              <w:t>MacDowall</w:t>
            </w:r>
            <w:proofErr w:type="spellEnd"/>
            <w:r w:rsidRPr="00833CB9">
              <w:rPr>
                <w:bCs/>
                <w:sz w:val="24"/>
                <w:szCs w:val="24"/>
                <w:lang w:val="en-GB"/>
              </w:rPr>
              <w:t>.</w:t>
            </w:r>
            <w:r w:rsidRPr="00833CB9">
              <w:rPr>
                <w:b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833CB9">
              <w:rPr>
                <w:i/>
                <w:iCs/>
                <w:sz w:val="24"/>
                <w:szCs w:val="24"/>
                <w:lang w:val="en-GB"/>
              </w:rPr>
              <w:t>An Illustrated History of Britain</w:t>
            </w:r>
            <w:r w:rsidRPr="00833CB9">
              <w:rPr>
                <w:b/>
                <w:i/>
                <w:iCs/>
                <w:sz w:val="24"/>
                <w:szCs w:val="24"/>
                <w:lang w:val="en-GB"/>
              </w:rPr>
              <w:t xml:space="preserve">. </w:t>
            </w:r>
            <w:r w:rsidRPr="00833CB9">
              <w:rPr>
                <w:bCs/>
                <w:sz w:val="24"/>
                <w:szCs w:val="24"/>
                <w:lang w:val="en-GB"/>
              </w:rPr>
              <w:t>London: Longman, 1989. 1-130.</w:t>
            </w:r>
          </w:p>
          <w:p w:rsidR="00833CB9" w:rsidRPr="00833CB9" w:rsidRDefault="00833CB9" w:rsidP="00833CB9">
            <w:pPr>
              <w:ind w:left="283" w:right="142" w:hanging="284"/>
              <w:jc w:val="both"/>
              <w:rPr>
                <w:sz w:val="24"/>
                <w:szCs w:val="24"/>
                <w:lang w:val="en-GB"/>
              </w:rPr>
            </w:pPr>
            <w:r w:rsidRPr="00833CB9">
              <w:rPr>
                <w:sz w:val="24"/>
                <w:szCs w:val="24"/>
                <w:lang w:val="en-GB"/>
              </w:rPr>
              <w:t xml:space="preserve">Blair, John, </w:t>
            </w:r>
            <w:r w:rsidRPr="00833CB9">
              <w:rPr>
                <w:i/>
                <w:iCs/>
                <w:sz w:val="24"/>
                <w:szCs w:val="24"/>
                <w:lang w:val="en-GB"/>
              </w:rPr>
              <w:t xml:space="preserve">The Anglo-Saxon Age. </w:t>
            </w:r>
            <w:r w:rsidRPr="00833CB9">
              <w:rPr>
                <w:sz w:val="24"/>
                <w:szCs w:val="24"/>
                <w:lang w:val="en-GB"/>
              </w:rPr>
              <w:t>Oxford University Press, 2000.</w:t>
            </w:r>
          </w:p>
          <w:p w:rsidR="00833CB9" w:rsidRPr="00833CB9" w:rsidRDefault="00833CB9" w:rsidP="00833CB9">
            <w:pPr>
              <w:ind w:left="283" w:right="142" w:hanging="284"/>
              <w:jc w:val="both"/>
              <w:rPr>
                <w:sz w:val="24"/>
                <w:szCs w:val="24"/>
                <w:lang w:val="en-GB"/>
              </w:rPr>
            </w:pPr>
            <w:r w:rsidRPr="00833CB9">
              <w:rPr>
                <w:sz w:val="24"/>
                <w:szCs w:val="24"/>
                <w:lang w:val="en-GB"/>
              </w:rPr>
              <w:t xml:space="preserve">Gillingham, John and Ralph A. Griffiths, </w:t>
            </w:r>
            <w:r w:rsidRPr="00833CB9">
              <w:rPr>
                <w:i/>
                <w:iCs/>
                <w:sz w:val="24"/>
                <w:szCs w:val="24"/>
                <w:lang w:val="en-GB"/>
              </w:rPr>
              <w:t xml:space="preserve">Medieval Britain. </w:t>
            </w:r>
            <w:r w:rsidRPr="00833CB9">
              <w:rPr>
                <w:sz w:val="24"/>
                <w:szCs w:val="24"/>
                <w:lang w:val="en-GB"/>
              </w:rPr>
              <w:t>Oxford University Press, 2000</w:t>
            </w:r>
          </w:p>
          <w:p w:rsidR="00833CB9" w:rsidRPr="00833CB9" w:rsidRDefault="00833CB9" w:rsidP="00833CB9">
            <w:pPr>
              <w:ind w:left="283" w:right="142" w:hanging="284"/>
              <w:jc w:val="both"/>
              <w:rPr>
                <w:sz w:val="24"/>
                <w:szCs w:val="24"/>
                <w:lang w:val="en-GB"/>
              </w:rPr>
            </w:pPr>
            <w:r w:rsidRPr="00833CB9">
              <w:rPr>
                <w:sz w:val="24"/>
                <w:szCs w:val="24"/>
                <w:lang w:val="en-GB"/>
              </w:rPr>
              <w:t xml:space="preserve">Guy, John, </w:t>
            </w:r>
            <w:r w:rsidRPr="00833CB9">
              <w:rPr>
                <w:i/>
                <w:iCs/>
                <w:sz w:val="24"/>
                <w:szCs w:val="24"/>
                <w:lang w:val="en-GB"/>
              </w:rPr>
              <w:t xml:space="preserve">The Tudors. </w:t>
            </w:r>
            <w:r w:rsidRPr="00833CB9">
              <w:rPr>
                <w:sz w:val="24"/>
                <w:szCs w:val="24"/>
                <w:lang w:val="en-GB"/>
              </w:rPr>
              <w:t>Oxford University Press, 2000.</w:t>
            </w:r>
          </w:p>
          <w:p w:rsidR="00833CB9" w:rsidRPr="00833CB9" w:rsidRDefault="00833CB9" w:rsidP="00833CB9">
            <w:pPr>
              <w:ind w:left="283" w:right="142" w:hanging="284"/>
              <w:jc w:val="both"/>
              <w:rPr>
                <w:sz w:val="24"/>
                <w:szCs w:val="24"/>
                <w:lang w:val="en-GB"/>
              </w:rPr>
            </w:pPr>
            <w:r w:rsidRPr="00833CB9">
              <w:rPr>
                <w:sz w:val="24"/>
                <w:szCs w:val="24"/>
                <w:lang w:val="en-GB"/>
              </w:rPr>
              <w:t xml:space="preserve">Morrill, John, </w:t>
            </w:r>
            <w:r w:rsidRPr="00833CB9">
              <w:rPr>
                <w:i/>
                <w:iCs/>
                <w:sz w:val="24"/>
                <w:szCs w:val="24"/>
                <w:lang w:val="en-GB"/>
              </w:rPr>
              <w:t xml:space="preserve">Stuart Britain. </w:t>
            </w:r>
            <w:r w:rsidRPr="00833CB9">
              <w:rPr>
                <w:sz w:val="24"/>
                <w:szCs w:val="24"/>
                <w:lang w:val="en-GB"/>
              </w:rPr>
              <w:t>Oxford University Press, 2000</w:t>
            </w:r>
          </w:p>
          <w:p w:rsidR="00833CB9" w:rsidRPr="00833CB9" w:rsidRDefault="00833CB9" w:rsidP="00833CB9">
            <w:pPr>
              <w:ind w:left="283" w:hanging="284"/>
              <w:rPr>
                <w:bCs/>
                <w:sz w:val="24"/>
                <w:szCs w:val="24"/>
                <w:lang w:val="en-GB"/>
              </w:rPr>
            </w:pPr>
            <w:r w:rsidRPr="00833CB9">
              <w:rPr>
                <w:sz w:val="24"/>
                <w:szCs w:val="24"/>
                <w:lang w:val="en-GB"/>
              </w:rPr>
              <w:t xml:space="preserve">Langford, Paul, </w:t>
            </w:r>
            <w:r w:rsidRPr="00833CB9">
              <w:rPr>
                <w:i/>
                <w:iCs/>
                <w:sz w:val="24"/>
                <w:szCs w:val="24"/>
                <w:lang w:val="en-GB"/>
              </w:rPr>
              <w:t xml:space="preserve">Eighteenth-Century Britain. </w:t>
            </w:r>
            <w:r w:rsidRPr="00833CB9">
              <w:rPr>
                <w:sz w:val="24"/>
                <w:szCs w:val="24"/>
                <w:lang w:val="en-GB"/>
              </w:rPr>
              <w:t>Oxford University Press, 2000.</w:t>
            </w:r>
          </w:p>
          <w:p w:rsidR="00833CB9" w:rsidRPr="00833CB9" w:rsidRDefault="00833CB9" w:rsidP="00833CB9">
            <w:pPr>
              <w:rPr>
                <w:b/>
                <w:sz w:val="24"/>
                <w:lang w:val="en-GB"/>
              </w:rPr>
            </w:pPr>
          </w:p>
        </w:tc>
      </w:tr>
    </w:tbl>
    <w:p w:rsidR="0082680F" w:rsidRPr="00833CB9" w:rsidRDefault="0082680F">
      <w:pPr>
        <w:rPr>
          <w:lang w:val="en-GB"/>
        </w:rPr>
      </w:pPr>
    </w:p>
    <w:sectPr w:rsidR="0082680F" w:rsidRPr="0083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D1"/>
    <w:rsid w:val="00222F55"/>
    <w:rsid w:val="002F6369"/>
    <w:rsid w:val="004A2B20"/>
    <w:rsid w:val="0051235A"/>
    <w:rsid w:val="007309D1"/>
    <w:rsid w:val="0082680F"/>
    <w:rsid w:val="00833CB9"/>
    <w:rsid w:val="0084223B"/>
    <w:rsid w:val="00886C9A"/>
    <w:rsid w:val="00902C45"/>
    <w:rsid w:val="009C030D"/>
    <w:rsid w:val="00D66BD0"/>
    <w:rsid w:val="00FA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7309D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2E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2E3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7309D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2E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2E3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Budai Ciszterci Szent Imre Gimnázium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Beretzky Ágnes</dc:creator>
  <cp:lastModifiedBy>Kiricsi Ágnes</cp:lastModifiedBy>
  <cp:revision>2</cp:revision>
  <dcterms:created xsi:type="dcterms:W3CDTF">2017-10-19T06:37:00Z</dcterms:created>
  <dcterms:modified xsi:type="dcterms:W3CDTF">2017-10-19T06:37:00Z</dcterms:modified>
</cp:coreProperties>
</file>