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1449"/>
        <w:gridCol w:w="1611"/>
        <w:gridCol w:w="1620"/>
        <w:gridCol w:w="2520"/>
      </w:tblGrid>
      <w:tr w:rsidR="0050386D" w:rsidRPr="00651D49" w14:paraId="6FD38AA8" w14:textId="77777777" w:rsidTr="008F6680">
        <w:trPr>
          <w:trHeight w:val="413"/>
          <w:jc w:val="center"/>
        </w:trPr>
        <w:tc>
          <w:tcPr>
            <w:tcW w:w="9990" w:type="dxa"/>
            <w:gridSpan w:val="5"/>
            <w:shd w:val="clear" w:color="auto" w:fill="D9D9D9" w:themeFill="background1" w:themeFillShade="D9"/>
          </w:tcPr>
          <w:p w14:paraId="19731AB0" w14:textId="15BEB5CA" w:rsidR="0050386D" w:rsidRPr="00651D49" w:rsidRDefault="0050386D" w:rsidP="008F6680">
            <w:pPr>
              <w:pStyle w:val="Cmsor3"/>
              <w:rPr>
                <w:rFonts w:ascii="Book Antiqua" w:hAnsi="Book Antiqua"/>
                <w:b/>
                <w:color w:val="auto"/>
                <w:sz w:val="22"/>
                <w:szCs w:val="22"/>
              </w:rPr>
            </w:pPr>
            <w:r>
              <w:rPr>
                <w:rFonts w:ascii="Book Antiqua" w:hAnsi="Book Antiqua"/>
                <w:b/>
                <w:color w:val="auto"/>
                <w:sz w:val="22"/>
                <w:szCs w:val="22"/>
              </w:rPr>
              <w:t xml:space="preserve">ERP-HT 0036 FOUNDATIONS </w:t>
            </w:r>
            <w:proofErr w:type="gramStart"/>
            <w:r>
              <w:rPr>
                <w:rFonts w:ascii="Book Antiqua" w:hAnsi="Book Antiqua"/>
                <w:b/>
                <w:color w:val="auto"/>
                <w:sz w:val="22"/>
                <w:szCs w:val="22"/>
              </w:rPr>
              <w:t xml:space="preserve">OF </w:t>
            </w:r>
            <w:r w:rsidRPr="0050386D">
              <w:rPr>
                <w:rFonts w:ascii="Book Antiqua" w:hAnsi="Book Antiqua"/>
                <w:b/>
                <w:color w:val="auto"/>
                <w:sz w:val="22"/>
                <w:szCs w:val="22"/>
              </w:rPr>
              <w:t xml:space="preserve"> </w:t>
            </w:r>
            <w:bookmarkStart w:id="0" w:name="_GoBack"/>
            <w:bookmarkEnd w:id="0"/>
            <w:r w:rsidRPr="0050386D">
              <w:rPr>
                <w:rFonts w:ascii="Book Antiqua" w:hAnsi="Book Antiqua"/>
                <w:b/>
                <w:color w:val="auto"/>
                <w:sz w:val="22"/>
                <w:szCs w:val="22"/>
              </w:rPr>
              <w:t>CHRISTIAN</w:t>
            </w:r>
            <w:proofErr w:type="gramEnd"/>
            <w:r w:rsidRPr="0050386D">
              <w:rPr>
                <w:rFonts w:ascii="Book Antiqua" w:hAnsi="Book Antiqua"/>
                <w:b/>
                <w:color w:val="auto"/>
                <w:sz w:val="22"/>
                <w:szCs w:val="22"/>
              </w:rPr>
              <w:t xml:space="preserve"> FAITH </w:t>
            </w:r>
            <w:r>
              <w:rPr>
                <w:rFonts w:ascii="Book Antiqua" w:hAnsi="Book Antiqua"/>
                <w:b/>
                <w:color w:val="auto"/>
                <w:sz w:val="22"/>
                <w:szCs w:val="22"/>
              </w:rPr>
              <w:t>(</w:t>
            </w:r>
            <w:r w:rsidRPr="00651D49">
              <w:rPr>
                <w:rFonts w:ascii="Book Antiqua" w:hAnsi="Book Antiqua"/>
                <w:b/>
                <w:color w:val="auto"/>
                <w:sz w:val="22"/>
                <w:szCs w:val="22"/>
              </w:rPr>
              <w:t>HT RSVS076 / HT ÉRTÉ</w:t>
            </w:r>
            <w:r>
              <w:rPr>
                <w:rFonts w:ascii="Book Antiqua" w:hAnsi="Book Antiqua"/>
                <w:b/>
                <w:color w:val="auto"/>
                <w:sz w:val="22"/>
                <w:szCs w:val="22"/>
              </w:rPr>
              <w:t>102 – CHRISTIAN SPIRITUALITY )</w:t>
            </w:r>
          </w:p>
        </w:tc>
      </w:tr>
      <w:tr w:rsidR="0050386D" w14:paraId="1BE3F1F0" w14:textId="77777777" w:rsidTr="008F6680">
        <w:trPr>
          <w:trHeight w:val="782"/>
          <w:jc w:val="center"/>
        </w:trPr>
        <w:tc>
          <w:tcPr>
            <w:tcW w:w="2790" w:type="dxa"/>
            <w:tcBorders>
              <w:bottom w:val="single" w:sz="4" w:space="0" w:color="auto"/>
            </w:tcBorders>
          </w:tcPr>
          <w:p w14:paraId="217B3C21" w14:textId="77777777" w:rsidR="0050386D" w:rsidRDefault="0050386D" w:rsidP="008F6680">
            <w:r w:rsidRPr="00CE0DCA">
              <w:rPr>
                <w:b/>
              </w:rPr>
              <w:t>Responsible for the course</w:t>
            </w:r>
            <w:r>
              <w:t>:</w:t>
            </w:r>
          </w:p>
          <w:p w14:paraId="0FBE8373" w14:textId="77777777" w:rsidR="0050386D" w:rsidRDefault="0050386D" w:rsidP="008F6680">
            <w:r>
              <w:t>Dr. John Brouwer</w:t>
            </w:r>
          </w:p>
        </w:tc>
        <w:tc>
          <w:tcPr>
            <w:tcW w:w="3060" w:type="dxa"/>
            <w:gridSpan w:val="2"/>
          </w:tcPr>
          <w:p w14:paraId="1AC594DE" w14:textId="77777777" w:rsidR="0050386D" w:rsidRDefault="0050386D" w:rsidP="008F6680">
            <w:r w:rsidRPr="00CE0DCA">
              <w:rPr>
                <w:b/>
              </w:rPr>
              <w:t>Timetable</w:t>
            </w:r>
            <w:r>
              <w:t>:</w:t>
            </w:r>
          </w:p>
          <w:p w14:paraId="28ECC411" w14:textId="77777777" w:rsidR="0050386D" w:rsidRPr="00BD30C0" w:rsidRDefault="0050386D" w:rsidP="008F6680">
            <w:pPr>
              <w:rPr>
                <w:rFonts w:eastAsia="Calibri"/>
              </w:rPr>
            </w:pPr>
            <w:r>
              <w:rPr>
                <w:rFonts w:eastAsia="Calibri"/>
              </w:rPr>
              <w:t>Thursday, 10:00 - 11:30</w:t>
            </w:r>
            <w:r>
              <w:t xml:space="preserve">, </w:t>
            </w:r>
            <w:r>
              <w:rPr>
                <w:rFonts w:eastAsia="Calibri"/>
              </w:rPr>
              <w:t>BTK, D25 Room: 236</w:t>
            </w:r>
          </w:p>
        </w:tc>
        <w:tc>
          <w:tcPr>
            <w:tcW w:w="4140" w:type="dxa"/>
            <w:gridSpan w:val="2"/>
            <w:vMerge w:val="restart"/>
            <w:shd w:val="clear" w:color="auto" w:fill="auto"/>
          </w:tcPr>
          <w:p w14:paraId="1E2A9B97" w14:textId="77777777" w:rsidR="0050386D" w:rsidRDefault="0050386D" w:rsidP="008F6680">
            <w:pPr>
              <w:spacing w:after="80" w:line="276" w:lineRule="auto"/>
            </w:pPr>
            <w:r w:rsidRPr="00600CA8">
              <w:rPr>
                <w:b/>
              </w:rPr>
              <w:t>Prescriptions</w:t>
            </w:r>
            <w:r>
              <w:t>: (prerequisites)</w:t>
            </w:r>
          </w:p>
          <w:p w14:paraId="639FBA68" w14:textId="77777777" w:rsidR="0050386D" w:rsidRDefault="0050386D" w:rsidP="008F6680">
            <w:pPr>
              <w:spacing w:after="200" w:line="276" w:lineRule="auto"/>
              <w:rPr>
                <w:rFonts w:eastAsia="Calibri"/>
              </w:rPr>
            </w:pPr>
            <w:r>
              <w:t>Beginning to i</w:t>
            </w:r>
            <w:r>
              <w:rPr>
                <w:rFonts w:eastAsia="Calibri"/>
              </w:rPr>
              <w:t xml:space="preserve">ntermediate English. </w:t>
            </w:r>
          </w:p>
          <w:p w14:paraId="01BF1DB9" w14:textId="77777777" w:rsidR="0050386D" w:rsidRDefault="0050386D" w:rsidP="008F6680">
            <w:pPr>
              <w:spacing w:after="200" w:line="276" w:lineRule="auto"/>
            </w:pPr>
            <w:r>
              <w:rPr>
                <w:rFonts w:eastAsia="Calibri"/>
              </w:rPr>
              <w:t xml:space="preserve">A </w:t>
            </w:r>
            <w:r w:rsidRPr="004404E5">
              <w:rPr>
                <w:rFonts w:eastAsia="Calibri"/>
              </w:rPr>
              <w:t>complete</w:t>
            </w:r>
            <w:r>
              <w:rPr>
                <w:rFonts w:eastAsia="Calibri"/>
              </w:rPr>
              <w:t xml:space="preserve"> set of notes </w:t>
            </w:r>
            <w:proofErr w:type="gramStart"/>
            <w:r>
              <w:rPr>
                <w:rFonts w:eastAsia="Calibri"/>
              </w:rPr>
              <w:t>is provided</w:t>
            </w:r>
            <w:proofErr w:type="gramEnd"/>
            <w:r>
              <w:t>.</w:t>
            </w:r>
          </w:p>
        </w:tc>
      </w:tr>
      <w:tr w:rsidR="0050386D" w14:paraId="71F0A2BF" w14:textId="77777777" w:rsidTr="008F6680">
        <w:trPr>
          <w:trHeight w:val="773"/>
          <w:jc w:val="center"/>
        </w:trPr>
        <w:tc>
          <w:tcPr>
            <w:tcW w:w="2790" w:type="dxa"/>
          </w:tcPr>
          <w:p w14:paraId="12C552B8" w14:textId="77777777" w:rsidR="0050386D" w:rsidRDefault="0050386D" w:rsidP="008F6680">
            <w:r w:rsidRPr="00CE0DCA">
              <w:rPr>
                <w:b/>
              </w:rPr>
              <w:t>Leader of the course</w:t>
            </w:r>
            <w:r>
              <w:t>:</w:t>
            </w:r>
          </w:p>
          <w:p w14:paraId="37030EBF" w14:textId="77777777" w:rsidR="0050386D" w:rsidRDefault="0050386D" w:rsidP="008F6680">
            <w:r>
              <w:t>Dr. John Brouwer</w:t>
            </w:r>
          </w:p>
        </w:tc>
        <w:tc>
          <w:tcPr>
            <w:tcW w:w="1449" w:type="dxa"/>
          </w:tcPr>
          <w:p w14:paraId="0B598E2E" w14:textId="77777777" w:rsidR="0050386D" w:rsidRPr="00CE0DCA" w:rsidRDefault="0050386D" w:rsidP="008F6680">
            <w:pPr>
              <w:rPr>
                <w:b/>
              </w:rPr>
            </w:pPr>
            <w:r w:rsidRPr="00CE0DCA">
              <w:rPr>
                <w:b/>
              </w:rPr>
              <w:t>Contact</w:t>
            </w:r>
          </w:p>
          <w:p w14:paraId="05B0378E" w14:textId="77777777" w:rsidR="0050386D" w:rsidRDefault="0050386D" w:rsidP="008F6680">
            <w:r w:rsidRPr="00CE0DCA">
              <w:rPr>
                <w:b/>
              </w:rPr>
              <w:t>Hours</w:t>
            </w:r>
            <w:r>
              <w:t>:</w:t>
            </w:r>
          </w:p>
          <w:p w14:paraId="545008F1" w14:textId="77777777" w:rsidR="0050386D" w:rsidRDefault="0050386D" w:rsidP="008F6680">
            <w:pPr>
              <w:jc w:val="center"/>
            </w:pPr>
            <w:r>
              <w:t>N: 30</w:t>
            </w:r>
          </w:p>
        </w:tc>
        <w:tc>
          <w:tcPr>
            <w:tcW w:w="1611" w:type="dxa"/>
          </w:tcPr>
          <w:p w14:paraId="1D73F4E6" w14:textId="77777777" w:rsidR="0050386D" w:rsidRDefault="0050386D" w:rsidP="008F6680">
            <w:r w:rsidRPr="00CE0DCA">
              <w:rPr>
                <w:b/>
              </w:rPr>
              <w:t>Credit</w:t>
            </w:r>
            <w:r>
              <w:t>:</w:t>
            </w:r>
          </w:p>
          <w:p w14:paraId="0486CBE3" w14:textId="77777777" w:rsidR="0050386D" w:rsidRPr="003E0A14" w:rsidRDefault="0050386D" w:rsidP="008F6680">
            <w:pPr>
              <w:jc w:val="center"/>
            </w:pPr>
            <w:r>
              <w:t>4</w:t>
            </w:r>
          </w:p>
        </w:tc>
        <w:tc>
          <w:tcPr>
            <w:tcW w:w="4140" w:type="dxa"/>
            <w:gridSpan w:val="2"/>
            <w:vMerge/>
            <w:shd w:val="clear" w:color="auto" w:fill="auto"/>
          </w:tcPr>
          <w:p w14:paraId="42487D03" w14:textId="77777777" w:rsidR="0050386D" w:rsidRDefault="0050386D" w:rsidP="008F6680">
            <w:pPr>
              <w:spacing w:after="200" w:line="276" w:lineRule="auto"/>
            </w:pPr>
          </w:p>
        </w:tc>
      </w:tr>
      <w:tr w:rsidR="0050386D" w14:paraId="5CA1BED7" w14:textId="77777777" w:rsidTr="008F6680">
        <w:trPr>
          <w:trHeight w:val="530"/>
          <w:jc w:val="center"/>
        </w:trPr>
        <w:tc>
          <w:tcPr>
            <w:tcW w:w="2790" w:type="dxa"/>
            <w:vMerge w:val="restart"/>
          </w:tcPr>
          <w:p w14:paraId="37A05E3E" w14:textId="77777777" w:rsidR="0050386D" w:rsidRDefault="0050386D" w:rsidP="008F6680"/>
          <w:p w14:paraId="1E4C36E2" w14:textId="77777777" w:rsidR="0050386D" w:rsidRDefault="0050386D" w:rsidP="008F6680">
            <w:hyperlink r:id="rId5" w:history="1">
              <w:r w:rsidRPr="00074BF5">
                <w:rPr>
                  <w:rStyle w:val="Hiperhivatkozs"/>
                </w:rPr>
                <w:t>jbrouwer@cantab.net</w:t>
              </w:r>
            </w:hyperlink>
            <w:r>
              <w:t xml:space="preserve"> </w:t>
            </w:r>
          </w:p>
        </w:tc>
        <w:tc>
          <w:tcPr>
            <w:tcW w:w="1449" w:type="dxa"/>
            <w:vMerge w:val="restart"/>
          </w:tcPr>
          <w:p w14:paraId="6CE24514" w14:textId="77777777" w:rsidR="0050386D" w:rsidRDefault="0050386D" w:rsidP="008F6680">
            <w:r w:rsidRPr="00CE0DCA">
              <w:rPr>
                <w:b/>
              </w:rPr>
              <w:t>Type</w:t>
            </w:r>
            <w:r>
              <w:t>:</w:t>
            </w:r>
          </w:p>
          <w:p w14:paraId="3F810D52" w14:textId="77777777" w:rsidR="0050386D" w:rsidRDefault="0050386D" w:rsidP="008F6680"/>
          <w:p w14:paraId="54E8E2C5" w14:textId="77777777" w:rsidR="0050386D" w:rsidRDefault="0050386D" w:rsidP="008F6680">
            <w:r>
              <w:t>Optional</w:t>
            </w:r>
          </w:p>
        </w:tc>
        <w:tc>
          <w:tcPr>
            <w:tcW w:w="1611" w:type="dxa"/>
            <w:vMerge w:val="restart"/>
          </w:tcPr>
          <w:p w14:paraId="0550938F" w14:textId="77777777" w:rsidR="0050386D" w:rsidRDefault="0050386D" w:rsidP="008F6680">
            <w:r w:rsidRPr="00CE0DCA">
              <w:rPr>
                <w:b/>
              </w:rPr>
              <w:t>Semester</w:t>
            </w:r>
            <w:r>
              <w:t>:</w:t>
            </w:r>
          </w:p>
          <w:p w14:paraId="7F398F51" w14:textId="77777777" w:rsidR="0050386D" w:rsidRDefault="0050386D" w:rsidP="008F6680"/>
          <w:p w14:paraId="5E3C035F" w14:textId="77777777" w:rsidR="0050386D" w:rsidRDefault="0050386D" w:rsidP="008F6680">
            <w:r>
              <w:t>2019-20.1 Autumn 2019</w:t>
            </w:r>
          </w:p>
        </w:tc>
        <w:tc>
          <w:tcPr>
            <w:tcW w:w="1620" w:type="dxa"/>
          </w:tcPr>
          <w:p w14:paraId="3F5A318C" w14:textId="77777777" w:rsidR="0050386D" w:rsidRDefault="0050386D" w:rsidP="008F6680">
            <w:r w:rsidRPr="00CE0DCA">
              <w:rPr>
                <w:b/>
              </w:rPr>
              <w:t>Language</w:t>
            </w:r>
            <w:r>
              <w:t>:</w:t>
            </w:r>
          </w:p>
          <w:p w14:paraId="022BA021" w14:textId="77777777" w:rsidR="0050386D" w:rsidRDefault="0050386D" w:rsidP="008F6680">
            <w:pPr>
              <w:jc w:val="center"/>
            </w:pPr>
            <w:r>
              <w:t>English</w:t>
            </w:r>
          </w:p>
        </w:tc>
        <w:tc>
          <w:tcPr>
            <w:tcW w:w="2520" w:type="dxa"/>
          </w:tcPr>
          <w:p w14:paraId="5EAAC46A" w14:textId="77777777" w:rsidR="0050386D" w:rsidRDefault="0050386D" w:rsidP="008F6680">
            <w:r w:rsidRPr="00CE0DCA">
              <w:rPr>
                <w:b/>
              </w:rPr>
              <w:t>Evaluation</w:t>
            </w:r>
            <w:r>
              <w:t>:</w:t>
            </w:r>
          </w:p>
          <w:p w14:paraId="583DF9B7" w14:textId="77777777" w:rsidR="0050386D" w:rsidRDefault="0050386D" w:rsidP="008F6680">
            <w:pPr>
              <w:jc w:val="center"/>
            </w:pPr>
            <w:r>
              <w:t>Practical mark</w:t>
            </w:r>
          </w:p>
        </w:tc>
      </w:tr>
      <w:tr w:rsidR="0050386D" w14:paraId="51B00635" w14:textId="77777777" w:rsidTr="008F6680">
        <w:trPr>
          <w:trHeight w:val="818"/>
          <w:jc w:val="center"/>
        </w:trPr>
        <w:tc>
          <w:tcPr>
            <w:tcW w:w="2790" w:type="dxa"/>
            <w:vMerge/>
          </w:tcPr>
          <w:p w14:paraId="44232462" w14:textId="77777777" w:rsidR="0050386D" w:rsidRDefault="0050386D" w:rsidP="008F6680"/>
        </w:tc>
        <w:tc>
          <w:tcPr>
            <w:tcW w:w="1449" w:type="dxa"/>
            <w:vMerge/>
          </w:tcPr>
          <w:p w14:paraId="13379B1F" w14:textId="77777777" w:rsidR="0050386D" w:rsidRDefault="0050386D" w:rsidP="008F6680"/>
        </w:tc>
        <w:tc>
          <w:tcPr>
            <w:tcW w:w="1611" w:type="dxa"/>
            <w:vMerge/>
          </w:tcPr>
          <w:p w14:paraId="5746ADBB" w14:textId="77777777" w:rsidR="0050386D" w:rsidRDefault="0050386D" w:rsidP="008F6680"/>
        </w:tc>
        <w:tc>
          <w:tcPr>
            <w:tcW w:w="1620" w:type="dxa"/>
          </w:tcPr>
          <w:p w14:paraId="4D83C4FC" w14:textId="77777777" w:rsidR="0050386D" w:rsidRPr="00CE0DCA" w:rsidRDefault="0050386D" w:rsidP="008F6680">
            <w:pPr>
              <w:rPr>
                <w:b/>
              </w:rPr>
            </w:pPr>
            <w:r w:rsidRPr="00CE0DCA">
              <w:rPr>
                <w:b/>
              </w:rPr>
              <w:t xml:space="preserve">Suggested </w:t>
            </w:r>
          </w:p>
          <w:p w14:paraId="5328E085" w14:textId="77777777" w:rsidR="0050386D" w:rsidRDefault="0050386D" w:rsidP="008F6680">
            <w:r w:rsidRPr="00CE0DCA">
              <w:rPr>
                <w:b/>
              </w:rPr>
              <w:t>semester</w:t>
            </w:r>
            <w:r>
              <w:t>:</w:t>
            </w:r>
          </w:p>
          <w:p w14:paraId="623A3A83" w14:textId="77777777" w:rsidR="0050386D" w:rsidRDefault="0050386D" w:rsidP="008F6680">
            <w:r>
              <w:t>Autumn 2019</w:t>
            </w:r>
          </w:p>
        </w:tc>
        <w:tc>
          <w:tcPr>
            <w:tcW w:w="2520" w:type="dxa"/>
          </w:tcPr>
          <w:p w14:paraId="6EE39884" w14:textId="77777777" w:rsidR="0050386D" w:rsidRDefault="0050386D" w:rsidP="008F6680">
            <w:r w:rsidRPr="00CE0DCA">
              <w:rPr>
                <w:b/>
              </w:rPr>
              <w:t>Method of evaluation</w:t>
            </w:r>
            <w:r>
              <w:t>:</w:t>
            </w:r>
          </w:p>
          <w:p w14:paraId="2C5EF37E" w14:textId="77777777" w:rsidR="0050386D" w:rsidRDefault="0050386D" w:rsidP="008F6680">
            <w:r>
              <w:t>Short quizzes and reflection paper</w:t>
            </w:r>
          </w:p>
        </w:tc>
      </w:tr>
      <w:tr w:rsidR="0050386D" w14:paraId="1C4B5DE6" w14:textId="77777777" w:rsidTr="008F6680">
        <w:trPr>
          <w:trHeight w:val="260"/>
          <w:jc w:val="center"/>
        </w:trPr>
        <w:tc>
          <w:tcPr>
            <w:tcW w:w="9990" w:type="dxa"/>
            <w:gridSpan w:val="5"/>
            <w:shd w:val="clear" w:color="auto" w:fill="F2F2F2" w:themeFill="background1" w:themeFillShade="F2"/>
          </w:tcPr>
          <w:p w14:paraId="68EB0C7F" w14:textId="77777777" w:rsidR="0050386D" w:rsidRPr="00CE0DCA" w:rsidRDefault="0050386D" w:rsidP="008F6680">
            <w:pPr>
              <w:rPr>
                <w:b/>
                <w:i/>
              </w:rPr>
            </w:pPr>
            <w:r>
              <w:rPr>
                <w:b/>
                <w:i/>
              </w:rPr>
              <w:t>Course description</w:t>
            </w:r>
            <w:r w:rsidRPr="00600CA8">
              <w:rPr>
                <w:b/>
              </w:rPr>
              <w:t>:</w:t>
            </w:r>
          </w:p>
        </w:tc>
      </w:tr>
      <w:tr w:rsidR="0050386D" w14:paraId="4CF3D754" w14:textId="77777777" w:rsidTr="008F6680">
        <w:trPr>
          <w:trHeight w:val="855"/>
          <w:jc w:val="center"/>
        </w:trPr>
        <w:tc>
          <w:tcPr>
            <w:tcW w:w="9990" w:type="dxa"/>
            <w:gridSpan w:val="5"/>
          </w:tcPr>
          <w:p w14:paraId="125DFA67" w14:textId="77777777" w:rsidR="0050386D" w:rsidRDefault="0050386D" w:rsidP="008F6680">
            <w:pPr>
              <w:ind w:firstLine="360"/>
              <w:rPr>
                <w:rFonts w:eastAsia="Calibri"/>
              </w:rPr>
            </w:pPr>
            <w:r>
              <w:rPr>
                <w:rFonts w:eastAsia="Calibri"/>
              </w:rPr>
              <w:t xml:space="preserve">Spirituality is a ‘hot topic’ today. </w:t>
            </w:r>
            <w:proofErr w:type="gramStart"/>
            <w:r>
              <w:rPr>
                <w:rFonts w:eastAsia="Calibri"/>
              </w:rPr>
              <w:t>But</w:t>
            </w:r>
            <w:proofErr w:type="gramEnd"/>
            <w:r>
              <w:rPr>
                <w:rFonts w:eastAsia="Calibri"/>
              </w:rPr>
              <w:t xml:space="preserve"> what do we mean by Christian spirituality? What is the theology of </w:t>
            </w:r>
            <w:proofErr w:type="gramStart"/>
            <w:r>
              <w:rPr>
                <w:rFonts w:eastAsia="Calibri"/>
              </w:rPr>
              <w:t>spirituality.</w:t>
            </w:r>
            <w:proofErr w:type="gramEnd"/>
            <w:r>
              <w:rPr>
                <w:rFonts w:eastAsia="Calibri"/>
              </w:rPr>
              <w:t xml:space="preserve"> How can we use in our churches? </w:t>
            </w:r>
            <w:proofErr w:type="gramStart"/>
            <w:r>
              <w:rPr>
                <w:rFonts w:eastAsia="Calibri"/>
              </w:rPr>
              <w:t>And</w:t>
            </w:r>
            <w:proofErr w:type="gramEnd"/>
            <w:r>
              <w:rPr>
                <w:rFonts w:eastAsia="Calibri"/>
              </w:rPr>
              <w:t xml:space="preserve"> will it attract people to church?</w:t>
            </w:r>
          </w:p>
          <w:p w14:paraId="3A5BFD96" w14:textId="77777777" w:rsidR="0050386D" w:rsidRDefault="0050386D" w:rsidP="008F6680">
            <w:pPr>
              <w:ind w:firstLine="360"/>
              <w:rPr>
                <w:rFonts w:eastAsia="Calibri"/>
              </w:rPr>
            </w:pPr>
            <w:r>
              <w:rPr>
                <w:rFonts w:eastAsia="Calibri"/>
              </w:rPr>
              <w:t>The seminar</w:t>
            </w:r>
            <w:r w:rsidRPr="00000E14">
              <w:rPr>
                <w:rFonts w:eastAsia="Calibri"/>
              </w:rPr>
              <w:t xml:space="preserve"> </w:t>
            </w:r>
            <w:r>
              <w:rPr>
                <w:rFonts w:eastAsia="Calibri"/>
              </w:rPr>
              <w:t xml:space="preserve">will teach you how Christian theology and belief </w:t>
            </w:r>
            <w:proofErr w:type="gramStart"/>
            <w:r>
              <w:rPr>
                <w:rFonts w:eastAsia="Calibri"/>
              </w:rPr>
              <w:t>can be used</w:t>
            </w:r>
            <w:proofErr w:type="gramEnd"/>
            <w:r>
              <w:rPr>
                <w:rFonts w:eastAsia="Calibri"/>
              </w:rPr>
              <w:t xml:space="preserve"> in practical areas of church life, and how Christian spirituality is effective to draw people back to church. Since many BTK students attend this seminar, the course allows you to meet and interact with ‘non-reformed people’, to see how they think, to discover how theology can help us connect with them. </w:t>
            </w:r>
          </w:p>
          <w:p w14:paraId="761C37DC" w14:textId="77777777" w:rsidR="0050386D" w:rsidRDefault="0050386D" w:rsidP="008F6680">
            <w:pPr>
              <w:ind w:firstLine="360"/>
            </w:pPr>
            <w:r>
              <w:rPr>
                <w:rFonts w:eastAsia="Calibri"/>
              </w:rPr>
              <w:t>The course will show how conversations about what it means to be a human can be effective for outreach and evangelism. The seminar will also help you improve your spoken and written English.</w:t>
            </w:r>
          </w:p>
          <w:p w14:paraId="3397E0FE" w14:textId="77777777" w:rsidR="0050386D" w:rsidRDefault="0050386D" w:rsidP="008F6680">
            <w:pPr>
              <w:ind w:firstLine="360"/>
              <w:rPr>
                <w:rFonts w:eastAsia="Calibri"/>
              </w:rPr>
            </w:pPr>
            <w:r>
              <w:rPr>
                <w:rFonts w:eastAsia="Calibri"/>
              </w:rPr>
              <w:t xml:space="preserve">In today’s Hungarian culture, there are many ideas about our ‘humanity’. Yet </w:t>
            </w:r>
            <w:proofErr w:type="gramStart"/>
            <w:r>
              <w:rPr>
                <w:rFonts w:eastAsia="Calibri"/>
              </w:rPr>
              <w:t>Jesus was fully human, and shows us what true humanity is like, theologically and practically</w:t>
            </w:r>
            <w:proofErr w:type="gramEnd"/>
            <w:r>
              <w:rPr>
                <w:rFonts w:eastAsia="Calibri"/>
              </w:rPr>
              <w:t xml:space="preserve">. With interactive discussion, we will use the idea of “being human” to introduce and discuss Christian spirituality. We first identify important views in culture. </w:t>
            </w:r>
            <w:proofErr w:type="gramStart"/>
            <w:r>
              <w:rPr>
                <w:rFonts w:eastAsia="Calibri"/>
              </w:rPr>
              <w:t>And then</w:t>
            </w:r>
            <w:proofErr w:type="gramEnd"/>
            <w:r>
              <w:rPr>
                <w:rFonts w:eastAsia="Calibri"/>
              </w:rPr>
              <w:t xml:space="preserve"> we contrast those views with what the Bible teaches about anthropology and spirituality. </w:t>
            </w:r>
          </w:p>
          <w:p w14:paraId="649F43AB" w14:textId="77777777" w:rsidR="0050386D" w:rsidRDefault="0050386D" w:rsidP="008F6680">
            <w:pPr>
              <w:ind w:firstLine="360"/>
            </w:pPr>
            <w:r>
              <w:rPr>
                <w:rFonts w:eastAsia="Calibri"/>
              </w:rPr>
              <w:t>Lastly, we describe the practical elements of Christian spirituality. Th</w:t>
            </w:r>
            <w:r>
              <w:t>is</w:t>
            </w:r>
            <w:r>
              <w:rPr>
                <w:rFonts w:eastAsia="Calibri"/>
              </w:rPr>
              <w:t xml:space="preserve"> part of the course begins with the separation between God and man, and the question of right relationship with God. How </w:t>
            </w:r>
            <w:proofErr w:type="gramStart"/>
            <w:r>
              <w:rPr>
                <w:rFonts w:eastAsia="Calibri"/>
              </w:rPr>
              <w:t>does justification work and what</w:t>
            </w:r>
            <w:proofErr w:type="gramEnd"/>
            <w:r>
              <w:rPr>
                <w:rFonts w:eastAsia="Calibri"/>
              </w:rPr>
              <w:t xml:space="preserve"> happens after that with sanctification? Broken relationships in families and throughout all levels of society seem to be normal in our modern society. Christian spirituality – deep, personal relationship between God and man – </w:t>
            </w:r>
            <w:proofErr w:type="gramStart"/>
            <w:r>
              <w:rPr>
                <w:rFonts w:eastAsia="Calibri"/>
              </w:rPr>
              <w:t>will be offered</w:t>
            </w:r>
            <w:proofErr w:type="gramEnd"/>
            <w:r>
              <w:rPr>
                <w:rFonts w:eastAsia="Calibri"/>
              </w:rPr>
              <w:t xml:space="preserve"> as a way to begin to heal broken relationships.</w:t>
            </w:r>
          </w:p>
        </w:tc>
      </w:tr>
      <w:tr w:rsidR="0050386D" w:rsidRPr="00CE0DCA" w14:paraId="157464BB" w14:textId="77777777" w:rsidTr="008F6680">
        <w:trPr>
          <w:trHeight w:val="233"/>
          <w:jc w:val="center"/>
        </w:trPr>
        <w:tc>
          <w:tcPr>
            <w:tcW w:w="99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8940C" w14:textId="77777777" w:rsidR="0050386D" w:rsidRPr="00CE0DCA" w:rsidRDefault="0050386D" w:rsidP="008F6680">
            <w:r w:rsidRPr="00CE0DCA">
              <w:rPr>
                <w:b/>
                <w:i/>
              </w:rPr>
              <w:t xml:space="preserve">Course </w:t>
            </w:r>
            <w:r>
              <w:rPr>
                <w:b/>
                <w:i/>
              </w:rPr>
              <w:t>content</w:t>
            </w:r>
            <w:r w:rsidRPr="00CE0DCA">
              <w:t>:</w:t>
            </w:r>
          </w:p>
        </w:tc>
      </w:tr>
      <w:tr w:rsidR="0050386D" w14:paraId="7FD4E14D" w14:textId="77777777" w:rsidTr="008F6680">
        <w:trPr>
          <w:trHeight w:val="1430"/>
          <w:jc w:val="center"/>
        </w:trPr>
        <w:tc>
          <w:tcPr>
            <w:tcW w:w="9990" w:type="dxa"/>
            <w:gridSpan w:val="5"/>
          </w:tcPr>
          <w:p w14:paraId="2D4921A4" w14:textId="77777777" w:rsidR="0050386D" w:rsidRPr="004404E5" w:rsidRDefault="0050386D" w:rsidP="0050386D">
            <w:pPr>
              <w:pStyle w:val="Listaszerbekezds"/>
              <w:numPr>
                <w:ilvl w:val="0"/>
                <w:numId w:val="3"/>
              </w:numPr>
              <w:ind w:left="360"/>
            </w:pPr>
            <w:r>
              <w:rPr>
                <w:rFonts w:eastAsia="Calibri"/>
              </w:rPr>
              <w:t xml:space="preserve">Preparatory meeting and </w:t>
            </w:r>
            <w:r w:rsidRPr="0087109F">
              <w:rPr>
                <w:rFonts w:eastAsia="Calibri"/>
              </w:rPr>
              <w:t>Nature of Humanity I: Historic, Government and Family</w:t>
            </w:r>
          </w:p>
          <w:p w14:paraId="699C63E5" w14:textId="77777777" w:rsidR="0050386D" w:rsidRPr="004404E5" w:rsidRDefault="0050386D" w:rsidP="0050386D">
            <w:pPr>
              <w:pStyle w:val="Listaszerbekezds"/>
              <w:numPr>
                <w:ilvl w:val="0"/>
                <w:numId w:val="3"/>
              </w:numPr>
              <w:ind w:left="360"/>
            </w:pPr>
            <w:r w:rsidRPr="0087109F">
              <w:rPr>
                <w:rFonts w:eastAsia="Calibri"/>
              </w:rPr>
              <w:t xml:space="preserve">Nature of Humanity II: Humans </w:t>
            </w:r>
            <w:r>
              <w:rPr>
                <w:rFonts w:eastAsia="Calibri"/>
              </w:rPr>
              <w:t xml:space="preserve">in the </w:t>
            </w:r>
            <w:r w:rsidRPr="0087109F">
              <w:rPr>
                <w:rFonts w:eastAsia="Calibri"/>
              </w:rPr>
              <w:t xml:space="preserve">image </w:t>
            </w:r>
            <w:r>
              <w:rPr>
                <w:rFonts w:eastAsia="Calibri"/>
              </w:rPr>
              <w:t xml:space="preserve">and likeness </w:t>
            </w:r>
            <w:r w:rsidRPr="0087109F">
              <w:rPr>
                <w:rFonts w:eastAsia="Calibri"/>
              </w:rPr>
              <w:t>of God</w:t>
            </w:r>
          </w:p>
          <w:p w14:paraId="2FB147CC" w14:textId="77777777" w:rsidR="0050386D" w:rsidRPr="004404E5" w:rsidRDefault="0050386D" w:rsidP="0050386D">
            <w:pPr>
              <w:pStyle w:val="Listaszerbekezds"/>
              <w:numPr>
                <w:ilvl w:val="0"/>
                <w:numId w:val="3"/>
              </w:numPr>
              <w:ind w:left="360"/>
            </w:pPr>
            <w:r w:rsidRPr="0087109F">
              <w:rPr>
                <w:rFonts w:eastAsia="Calibri"/>
              </w:rPr>
              <w:t xml:space="preserve">Nature of Humanity III: </w:t>
            </w:r>
            <w:r>
              <w:rPr>
                <w:rFonts w:eastAsia="Calibri"/>
              </w:rPr>
              <w:t>Teleology - i</w:t>
            </w:r>
            <w:r w:rsidRPr="0087109F">
              <w:rPr>
                <w:rFonts w:eastAsia="Calibri"/>
              </w:rPr>
              <w:t xml:space="preserve">s there purpose and meaning to life? </w:t>
            </w:r>
            <w:r>
              <w:rPr>
                <w:rFonts w:eastAsia="Calibri"/>
              </w:rPr>
              <w:t>‘Problem of Evil’</w:t>
            </w:r>
          </w:p>
          <w:p w14:paraId="3F1C1D66" w14:textId="77777777" w:rsidR="0050386D" w:rsidRPr="004404E5" w:rsidRDefault="0050386D" w:rsidP="0050386D">
            <w:pPr>
              <w:pStyle w:val="Listaszerbekezds"/>
              <w:numPr>
                <w:ilvl w:val="0"/>
                <w:numId w:val="3"/>
              </w:numPr>
              <w:ind w:left="360"/>
            </w:pPr>
            <w:r w:rsidRPr="0087109F">
              <w:rPr>
                <w:rFonts w:eastAsia="Calibri"/>
              </w:rPr>
              <w:t>Nature of Humanity IV: Evil defeated and its consequences</w:t>
            </w:r>
          </w:p>
          <w:p w14:paraId="34A0A60D" w14:textId="77777777" w:rsidR="0050386D" w:rsidRPr="004404E5" w:rsidRDefault="0050386D" w:rsidP="0050386D">
            <w:pPr>
              <w:pStyle w:val="Listaszerbekezds"/>
              <w:numPr>
                <w:ilvl w:val="0"/>
                <w:numId w:val="3"/>
              </w:numPr>
              <w:ind w:left="360"/>
            </w:pPr>
            <w:r w:rsidRPr="0087109F">
              <w:rPr>
                <w:rFonts w:eastAsia="Calibri"/>
              </w:rPr>
              <w:t>Contrasts Explored: Majesty of God</w:t>
            </w:r>
            <w:r>
              <w:rPr>
                <w:rFonts w:eastAsia="Calibri"/>
              </w:rPr>
              <w:t>’s holiness</w:t>
            </w:r>
            <w:r w:rsidRPr="0087109F">
              <w:rPr>
                <w:rFonts w:eastAsia="Calibri"/>
              </w:rPr>
              <w:t xml:space="preserve"> vs. corruption of </w:t>
            </w:r>
            <w:r>
              <w:rPr>
                <w:rFonts w:eastAsia="Calibri"/>
              </w:rPr>
              <w:t>human sin</w:t>
            </w:r>
          </w:p>
          <w:p w14:paraId="120F0BF4" w14:textId="77777777" w:rsidR="0050386D" w:rsidRPr="004404E5" w:rsidRDefault="0050386D" w:rsidP="0050386D">
            <w:pPr>
              <w:pStyle w:val="Listaszerbekezds"/>
              <w:numPr>
                <w:ilvl w:val="0"/>
                <w:numId w:val="3"/>
              </w:numPr>
              <w:ind w:left="360"/>
            </w:pPr>
            <w:r w:rsidRPr="0087109F">
              <w:rPr>
                <w:rFonts w:eastAsia="Calibri"/>
              </w:rPr>
              <w:t xml:space="preserve">Can we be right with God? </w:t>
            </w:r>
            <w:proofErr w:type="gramStart"/>
            <w:r>
              <w:rPr>
                <w:rFonts w:eastAsia="Calibri"/>
              </w:rPr>
              <w:t>And then</w:t>
            </w:r>
            <w:proofErr w:type="gramEnd"/>
            <w:r>
              <w:rPr>
                <w:rFonts w:eastAsia="Calibri"/>
              </w:rPr>
              <w:t xml:space="preserve"> </w:t>
            </w:r>
            <w:r>
              <w:t>what?</w:t>
            </w:r>
          </w:p>
          <w:p w14:paraId="664A5133" w14:textId="77777777" w:rsidR="0050386D" w:rsidRPr="004404E5" w:rsidRDefault="0050386D" w:rsidP="0050386D">
            <w:pPr>
              <w:pStyle w:val="Listaszerbekezds"/>
              <w:numPr>
                <w:ilvl w:val="0"/>
                <w:numId w:val="3"/>
              </w:numPr>
              <w:ind w:left="360"/>
            </w:pPr>
            <w:r>
              <w:rPr>
                <w:rFonts w:eastAsia="Calibri"/>
              </w:rPr>
              <w:t>Perfect grace and proximate peace: spiritual work for our congregations</w:t>
            </w:r>
          </w:p>
          <w:p w14:paraId="4C1A0F42" w14:textId="77777777" w:rsidR="0050386D" w:rsidRPr="000844C5" w:rsidRDefault="0050386D" w:rsidP="0050386D">
            <w:pPr>
              <w:pStyle w:val="Listaszerbekezds"/>
              <w:numPr>
                <w:ilvl w:val="0"/>
                <w:numId w:val="3"/>
              </w:numPr>
              <w:ind w:left="360"/>
            </w:pPr>
            <w:r w:rsidRPr="007B3C2B">
              <w:rPr>
                <w:rFonts w:eastAsia="Calibri"/>
              </w:rPr>
              <w:t>God with us:</w:t>
            </w:r>
            <w:r>
              <w:rPr>
                <w:rFonts w:eastAsia="Calibri"/>
              </w:rPr>
              <w:t xml:space="preserve"> practical consequences for church life</w:t>
            </w:r>
          </w:p>
          <w:p w14:paraId="1EC828E0" w14:textId="77777777" w:rsidR="0050386D" w:rsidRDefault="0050386D" w:rsidP="0050386D">
            <w:pPr>
              <w:pStyle w:val="Listaszerbekezds"/>
              <w:numPr>
                <w:ilvl w:val="0"/>
                <w:numId w:val="3"/>
              </w:numPr>
              <w:ind w:left="360"/>
            </w:pPr>
            <w:r>
              <w:t>Christian spirituality as an ecumenical bridge</w:t>
            </w:r>
          </w:p>
        </w:tc>
      </w:tr>
      <w:tr w:rsidR="0050386D" w14:paraId="00E34245" w14:textId="77777777" w:rsidTr="008F6680">
        <w:trPr>
          <w:trHeight w:val="260"/>
          <w:jc w:val="center"/>
        </w:trPr>
        <w:tc>
          <w:tcPr>
            <w:tcW w:w="99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D45590" w14:textId="77777777" w:rsidR="0050386D" w:rsidRPr="00600CA8" w:rsidRDefault="0050386D" w:rsidP="008F6680">
            <w:r w:rsidRPr="00600CA8">
              <w:rPr>
                <w:b/>
                <w:i/>
              </w:rPr>
              <w:t>Requirements</w:t>
            </w:r>
            <w:r>
              <w:rPr>
                <w:b/>
              </w:rPr>
              <w:t>:</w:t>
            </w:r>
          </w:p>
        </w:tc>
      </w:tr>
      <w:tr w:rsidR="0050386D" w14:paraId="1387584E" w14:textId="77777777" w:rsidTr="008F6680">
        <w:trPr>
          <w:trHeight w:val="332"/>
          <w:jc w:val="center"/>
        </w:trPr>
        <w:tc>
          <w:tcPr>
            <w:tcW w:w="9990" w:type="dxa"/>
            <w:gridSpan w:val="5"/>
            <w:tcBorders>
              <w:top w:val="single" w:sz="4" w:space="0" w:color="auto"/>
              <w:left w:val="single" w:sz="4" w:space="0" w:color="auto"/>
              <w:bottom w:val="single" w:sz="4" w:space="0" w:color="auto"/>
              <w:right w:val="single" w:sz="4" w:space="0" w:color="auto"/>
            </w:tcBorders>
          </w:tcPr>
          <w:p w14:paraId="2971F316" w14:textId="77777777" w:rsidR="0050386D" w:rsidRPr="00600CA8" w:rsidRDefault="0050386D" w:rsidP="008F6680">
            <w:r>
              <w:rPr>
                <w:rFonts w:eastAsia="Calibri"/>
              </w:rPr>
              <w:t>Grade: class participation and short reflection paper</w:t>
            </w:r>
            <w:r>
              <w:t>.</w:t>
            </w:r>
          </w:p>
        </w:tc>
      </w:tr>
      <w:tr w:rsidR="0050386D" w14:paraId="7CC92737" w14:textId="77777777" w:rsidTr="008F6680">
        <w:trPr>
          <w:trHeight w:val="287"/>
          <w:jc w:val="center"/>
        </w:trPr>
        <w:tc>
          <w:tcPr>
            <w:tcW w:w="99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5367FD" w14:textId="77777777" w:rsidR="0050386D" w:rsidRPr="00600CA8" w:rsidRDefault="0050386D" w:rsidP="008F6680">
            <w:r>
              <w:rPr>
                <w:b/>
                <w:i/>
              </w:rPr>
              <w:t>Literature</w:t>
            </w:r>
            <w:r w:rsidRPr="00600CA8">
              <w:t>:</w:t>
            </w:r>
          </w:p>
        </w:tc>
      </w:tr>
      <w:tr w:rsidR="0050386D" w14:paraId="184BADFC" w14:textId="77777777" w:rsidTr="008F6680">
        <w:trPr>
          <w:trHeight w:val="575"/>
          <w:jc w:val="center"/>
        </w:trPr>
        <w:tc>
          <w:tcPr>
            <w:tcW w:w="9990" w:type="dxa"/>
            <w:gridSpan w:val="5"/>
            <w:tcBorders>
              <w:top w:val="single" w:sz="4" w:space="0" w:color="auto"/>
              <w:left w:val="single" w:sz="4" w:space="0" w:color="auto"/>
              <w:bottom w:val="single" w:sz="4" w:space="0" w:color="auto"/>
              <w:right w:val="single" w:sz="4" w:space="0" w:color="auto"/>
            </w:tcBorders>
          </w:tcPr>
          <w:p w14:paraId="4BF26A75" w14:textId="77777777" w:rsidR="0050386D" w:rsidRDefault="0050386D" w:rsidP="0050386D">
            <w:pPr>
              <w:pStyle w:val="Listaszerbekezds"/>
              <w:numPr>
                <w:ilvl w:val="0"/>
                <w:numId w:val="2"/>
              </w:numPr>
              <w:ind w:left="360"/>
            </w:pPr>
            <w:r w:rsidRPr="004404E5">
              <w:rPr>
                <w:rFonts w:eastAsia="Calibri"/>
                <w:i/>
              </w:rPr>
              <w:t>The Holy Bible</w:t>
            </w:r>
            <w:r>
              <w:rPr>
                <w:rFonts w:eastAsia="Calibri"/>
              </w:rPr>
              <w:t xml:space="preserve"> in</w:t>
            </w:r>
            <w:r w:rsidRPr="00420D88">
              <w:rPr>
                <w:rFonts w:eastAsia="Calibri"/>
              </w:rPr>
              <w:t xml:space="preserve"> reliable modern translation</w:t>
            </w:r>
            <w:r>
              <w:rPr>
                <w:rFonts w:eastAsia="Calibri"/>
              </w:rPr>
              <w:t xml:space="preserve"> </w:t>
            </w:r>
            <w:r w:rsidRPr="00420D88">
              <w:rPr>
                <w:rFonts w:eastAsia="Calibri"/>
              </w:rPr>
              <w:t>--</w:t>
            </w:r>
            <w:r>
              <w:rPr>
                <w:rFonts w:eastAsia="Calibri"/>
              </w:rPr>
              <w:t xml:space="preserve"> e.g., </w:t>
            </w:r>
            <w:r w:rsidRPr="00420D88">
              <w:rPr>
                <w:rFonts w:eastAsia="Calibri"/>
              </w:rPr>
              <w:t>ESV</w:t>
            </w:r>
            <w:r>
              <w:rPr>
                <w:rFonts w:eastAsia="Calibri"/>
              </w:rPr>
              <w:t>, NIV, NASB, NRSV</w:t>
            </w:r>
            <w:r w:rsidRPr="00420D88">
              <w:rPr>
                <w:rFonts w:eastAsia="Calibri"/>
              </w:rPr>
              <w:t>.</w:t>
            </w:r>
          </w:p>
          <w:p w14:paraId="2DEADF8D" w14:textId="77777777" w:rsidR="0050386D" w:rsidRPr="00BB294A" w:rsidRDefault="0050386D" w:rsidP="0050386D">
            <w:pPr>
              <w:pStyle w:val="Listaszerbekezds"/>
              <w:numPr>
                <w:ilvl w:val="0"/>
                <w:numId w:val="2"/>
              </w:numPr>
              <w:ind w:left="360"/>
              <w:rPr>
                <w:rFonts w:eastAsia="Calibri"/>
              </w:rPr>
            </w:pPr>
            <w:r>
              <w:rPr>
                <w:rFonts w:eastAsia="Calibri"/>
              </w:rPr>
              <w:t xml:space="preserve">Augustine, </w:t>
            </w:r>
            <w:r w:rsidRPr="004404E5">
              <w:rPr>
                <w:rFonts w:eastAsia="Calibri"/>
                <w:i/>
              </w:rPr>
              <w:t>Confessions</w:t>
            </w:r>
            <w:r>
              <w:rPr>
                <w:rFonts w:eastAsia="Calibri"/>
              </w:rPr>
              <w:t>, trans. R.S. Pine-Coffin, London, 1961.</w:t>
            </w:r>
          </w:p>
          <w:p w14:paraId="268EDDEB" w14:textId="77777777" w:rsidR="0050386D" w:rsidRPr="0069559E" w:rsidRDefault="0050386D" w:rsidP="0050386D">
            <w:pPr>
              <w:pStyle w:val="Listaszerbekezds"/>
              <w:numPr>
                <w:ilvl w:val="0"/>
                <w:numId w:val="2"/>
              </w:numPr>
              <w:ind w:left="360"/>
              <w:rPr>
                <w:rFonts w:eastAsia="Calibri"/>
              </w:rPr>
            </w:pPr>
            <w:r>
              <w:rPr>
                <w:rFonts w:eastAsia="Calibri"/>
              </w:rPr>
              <w:t xml:space="preserve">Brown, Colin, </w:t>
            </w:r>
            <w:proofErr w:type="gramStart"/>
            <w:r w:rsidRPr="004404E5">
              <w:rPr>
                <w:rFonts w:eastAsia="Calibri"/>
                <w:i/>
              </w:rPr>
              <w:t>The</w:t>
            </w:r>
            <w:proofErr w:type="gramEnd"/>
            <w:r w:rsidRPr="004404E5">
              <w:rPr>
                <w:rFonts w:eastAsia="Calibri"/>
                <w:i/>
              </w:rPr>
              <w:t xml:space="preserve"> New International Dictionary of New Testament Theology</w:t>
            </w:r>
            <w:r>
              <w:rPr>
                <w:rFonts w:eastAsia="Calibri"/>
              </w:rPr>
              <w:t>, Grand Rapids, MI, 1971.</w:t>
            </w:r>
          </w:p>
          <w:p w14:paraId="51E454F7" w14:textId="77777777" w:rsidR="0050386D" w:rsidRPr="00420D88" w:rsidRDefault="0050386D" w:rsidP="0050386D">
            <w:pPr>
              <w:pStyle w:val="Listaszerbekezds"/>
              <w:numPr>
                <w:ilvl w:val="0"/>
                <w:numId w:val="2"/>
              </w:numPr>
              <w:ind w:left="360"/>
              <w:rPr>
                <w:rFonts w:eastAsia="Calibri"/>
              </w:rPr>
            </w:pPr>
            <w:r>
              <w:rPr>
                <w:rFonts w:eastAsia="Calibri"/>
              </w:rPr>
              <w:t>*</w:t>
            </w:r>
            <w:proofErr w:type="spellStart"/>
            <w:r>
              <w:rPr>
                <w:rFonts w:eastAsia="Calibri"/>
              </w:rPr>
              <w:t>Hoekema</w:t>
            </w:r>
            <w:proofErr w:type="spellEnd"/>
            <w:r>
              <w:rPr>
                <w:rFonts w:eastAsia="Calibri"/>
              </w:rPr>
              <w:t xml:space="preserve">, Anthony, </w:t>
            </w:r>
            <w:r w:rsidRPr="004404E5">
              <w:rPr>
                <w:rFonts w:eastAsia="Calibri"/>
                <w:i/>
              </w:rPr>
              <w:t>Created in God’s Image</w:t>
            </w:r>
            <w:r>
              <w:rPr>
                <w:rFonts w:eastAsia="Calibri"/>
              </w:rPr>
              <w:t xml:space="preserve">, Carlisle, 1994. </w:t>
            </w:r>
          </w:p>
          <w:p w14:paraId="3F9C6458" w14:textId="77777777" w:rsidR="0050386D" w:rsidRPr="00420D88" w:rsidRDefault="0050386D" w:rsidP="0050386D">
            <w:pPr>
              <w:pStyle w:val="Listaszerbekezds"/>
              <w:numPr>
                <w:ilvl w:val="0"/>
                <w:numId w:val="2"/>
              </w:numPr>
              <w:ind w:left="360"/>
              <w:rPr>
                <w:rFonts w:eastAsia="Calibri"/>
              </w:rPr>
            </w:pPr>
            <w:proofErr w:type="spellStart"/>
            <w:r>
              <w:rPr>
                <w:rFonts w:eastAsia="Calibri"/>
              </w:rPr>
              <w:t>Lindsley</w:t>
            </w:r>
            <w:proofErr w:type="spellEnd"/>
            <w:r>
              <w:rPr>
                <w:rFonts w:eastAsia="Calibri"/>
              </w:rPr>
              <w:t xml:space="preserve">, Art, ‘Character’ and ‘Character, Part Two’, </w:t>
            </w:r>
            <w:r w:rsidRPr="004404E5">
              <w:rPr>
                <w:rFonts w:eastAsia="Calibri"/>
                <w:i/>
              </w:rPr>
              <w:t>Knowing and Doing</w:t>
            </w:r>
            <w:r>
              <w:rPr>
                <w:rFonts w:eastAsia="Calibri"/>
              </w:rPr>
              <w:t xml:space="preserve"> (</w:t>
            </w:r>
            <w:proofErr w:type="gramStart"/>
            <w:r>
              <w:rPr>
                <w:rFonts w:eastAsia="Calibri"/>
              </w:rPr>
              <w:t>Fall</w:t>
            </w:r>
            <w:proofErr w:type="gramEnd"/>
            <w:r>
              <w:rPr>
                <w:rFonts w:eastAsia="Calibri"/>
              </w:rPr>
              <w:t xml:space="preserve"> and Winter: 2006). </w:t>
            </w:r>
          </w:p>
          <w:p w14:paraId="6DC24AEC" w14:textId="77777777" w:rsidR="0050386D" w:rsidRPr="00420D88" w:rsidRDefault="0050386D" w:rsidP="0050386D">
            <w:pPr>
              <w:pStyle w:val="Listaszerbekezds"/>
              <w:numPr>
                <w:ilvl w:val="0"/>
                <w:numId w:val="2"/>
              </w:numPr>
              <w:ind w:left="360"/>
              <w:rPr>
                <w:rFonts w:eastAsia="Calibri"/>
              </w:rPr>
            </w:pPr>
            <w:r>
              <w:rPr>
                <w:rFonts w:eastAsia="Calibri"/>
              </w:rPr>
              <w:t xml:space="preserve">*Lovelace, Richard, </w:t>
            </w:r>
            <w:r w:rsidRPr="004404E5">
              <w:rPr>
                <w:rFonts w:eastAsia="Calibri"/>
                <w:i/>
              </w:rPr>
              <w:t>Dynamics of Spiritual Life</w:t>
            </w:r>
            <w:r>
              <w:rPr>
                <w:rFonts w:eastAsia="Calibri"/>
              </w:rPr>
              <w:t xml:space="preserve">, Downers Grove, IL, 1980. </w:t>
            </w:r>
          </w:p>
          <w:p w14:paraId="51C14076" w14:textId="77777777" w:rsidR="0050386D" w:rsidRPr="00E43A1E" w:rsidRDefault="0050386D" w:rsidP="0050386D">
            <w:pPr>
              <w:pStyle w:val="Listaszerbekezds"/>
              <w:numPr>
                <w:ilvl w:val="0"/>
                <w:numId w:val="2"/>
              </w:numPr>
              <w:ind w:left="360"/>
              <w:rPr>
                <w:rFonts w:eastAsia="Calibri"/>
              </w:rPr>
            </w:pPr>
            <w:r>
              <w:rPr>
                <w:rFonts w:eastAsia="Calibri"/>
              </w:rPr>
              <w:t xml:space="preserve">Luther, Martin, </w:t>
            </w:r>
            <w:r w:rsidRPr="004404E5">
              <w:rPr>
                <w:rFonts w:eastAsia="Calibri"/>
                <w:i/>
              </w:rPr>
              <w:t>Commentary on Galatians</w:t>
            </w:r>
            <w:r>
              <w:rPr>
                <w:rFonts w:eastAsia="Calibri"/>
              </w:rPr>
              <w:t>.</w:t>
            </w:r>
          </w:p>
          <w:p w14:paraId="7DD2CB1A" w14:textId="77777777" w:rsidR="0050386D" w:rsidRPr="00420D88" w:rsidRDefault="0050386D" w:rsidP="0050386D">
            <w:pPr>
              <w:pStyle w:val="Listaszerbekezds"/>
              <w:numPr>
                <w:ilvl w:val="0"/>
                <w:numId w:val="2"/>
              </w:numPr>
              <w:ind w:left="360"/>
              <w:rPr>
                <w:rFonts w:eastAsia="Calibri"/>
              </w:rPr>
            </w:pPr>
            <w:r>
              <w:rPr>
                <w:rFonts w:eastAsia="Calibri"/>
              </w:rPr>
              <w:t xml:space="preserve">*Macaulay, Ranald, and </w:t>
            </w:r>
            <w:proofErr w:type="spellStart"/>
            <w:r>
              <w:rPr>
                <w:rFonts w:eastAsia="Calibri"/>
              </w:rPr>
              <w:t>Jerram</w:t>
            </w:r>
            <w:proofErr w:type="spellEnd"/>
            <w:r>
              <w:rPr>
                <w:rFonts w:eastAsia="Calibri"/>
              </w:rPr>
              <w:t xml:space="preserve"> </w:t>
            </w:r>
            <w:proofErr w:type="spellStart"/>
            <w:r>
              <w:rPr>
                <w:rFonts w:eastAsia="Calibri"/>
              </w:rPr>
              <w:t>Barrs</w:t>
            </w:r>
            <w:proofErr w:type="spellEnd"/>
            <w:r>
              <w:rPr>
                <w:rFonts w:eastAsia="Calibri"/>
              </w:rPr>
              <w:t xml:space="preserve">, </w:t>
            </w:r>
            <w:r w:rsidRPr="004404E5">
              <w:rPr>
                <w:rFonts w:eastAsia="Calibri"/>
                <w:i/>
              </w:rPr>
              <w:t>Being Human</w:t>
            </w:r>
            <w:r>
              <w:rPr>
                <w:rFonts w:eastAsia="Calibri"/>
              </w:rPr>
              <w:t>, Downers Grove, IL, 1978.</w:t>
            </w:r>
          </w:p>
          <w:p w14:paraId="1AC6954A" w14:textId="77777777" w:rsidR="0050386D" w:rsidRPr="00322DCD" w:rsidRDefault="0050386D" w:rsidP="0050386D">
            <w:pPr>
              <w:pStyle w:val="Listaszerbekezds"/>
              <w:numPr>
                <w:ilvl w:val="0"/>
                <w:numId w:val="1"/>
              </w:numPr>
              <w:ind w:left="360"/>
            </w:pPr>
            <w:r>
              <w:rPr>
                <w:rFonts w:eastAsia="Calibri"/>
              </w:rPr>
              <w:t xml:space="preserve">*McGrath, </w:t>
            </w:r>
            <w:proofErr w:type="spellStart"/>
            <w:r>
              <w:rPr>
                <w:rFonts w:eastAsia="Calibri"/>
              </w:rPr>
              <w:t>Alister</w:t>
            </w:r>
            <w:proofErr w:type="spellEnd"/>
            <w:r>
              <w:rPr>
                <w:rFonts w:eastAsia="Calibri"/>
              </w:rPr>
              <w:t xml:space="preserve"> E., </w:t>
            </w:r>
            <w:r>
              <w:rPr>
                <w:rFonts w:eastAsia="Calibri"/>
                <w:i/>
              </w:rPr>
              <w:t>Christian Theology: An Introduction</w:t>
            </w:r>
            <w:r>
              <w:rPr>
                <w:rFonts w:eastAsia="Calibri"/>
              </w:rPr>
              <w:t>, 2</w:t>
            </w:r>
            <w:r w:rsidRPr="00420D88">
              <w:rPr>
                <w:rFonts w:eastAsia="Calibri"/>
                <w:vertAlign w:val="superscript"/>
              </w:rPr>
              <w:t>nd</w:t>
            </w:r>
            <w:r>
              <w:rPr>
                <w:rFonts w:eastAsia="Calibri"/>
              </w:rPr>
              <w:t xml:space="preserve"> ed., Oxford, 1997.</w:t>
            </w:r>
          </w:p>
          <w:p w14:paraId="4F5A00A3" w14:textId="77777777" w:rsidR="0050386D" w:rsidRDefault="0050386D" w:rsidP="0050386D">
            <w:pPr>
              <w:pStyle w:val="Listaszerbekezds"/>
              <w:numPr>
                <w:ilvl w:val="0"/>
                <w:numId w:val="1"/>
              </w:numPr>
              <w:ind w:left="360"/>
            </w:pPr>
            <w:r>
              <w:t>WCC, ‘Baptism, Eucharist, Ministry Document’ and ‘BEM Introduction’, Faith and Order Commission, Lima, Peru, 1982.</w:t>
            </w:r>
          </w:p>
          <w:p w14:paraId="4AD7555D" w14:textId="77777777" w:rsidR="0050386D" w:rsidRDefault="0050386D" w:rsidP="008F6680">
            <w:pPr>
              <w:rPr>
                <w:rFonts w:eastAsia="Calibri"/>
              </w:rPr>
            </w:pPr>
            <w:r>
              <w:lastRenderedPageBreak/>
              <w:t xml:space="preserve">* </w:t>
            </w:r>
            <w:r>
              <w:rPr>
                <w:rFonts w:eastAsia="Calibri"/>
              </w:rPr>
              <w:t>Designates main reading text</w:t>
            </w:r>
          </w:p>
          <w:p w14:paraId="41F2BD0F" w14:textId="77777777" w:rsidR="0050386D" w:rsidRPr="00600CA8" w:rsidRDefault="0050386D" w:rsidP="008F6680"/>
        </w:tc>
      </w:tr>
    </w:tbl>
    <w:p w14:paraId="3AF42E72" w14:textId="77777777" w:rsidR="008402DA" w:rsidRDefault="008402DA" w:rsidP="0050386D"/>
    <w:sectPr w:rsidR="008402DA" w:rsidSect="003A33A4">
      <w:pgSz w:w="11909" w:h="16834" w:code="9"/>
      <w:pgMar w:top="1152" w:right="1152" w:bottom="1152"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D4BB1"/>
    <w:multiLevelType w:val="hybridMultilevel"/>
    <w:tmpl w:val="F1641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C4923"/>
    <w:multiLevelType w:val="hybridMultilevel"/>
    <w:tmpl w:val="28909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31C73"/>
    <w:multiLevelType w:val="hybridMultilevel"/>
    <w:tmpl w:val="2DB6E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DA"/>
    <w:rsid w:val="00004FBB"/>
    <w:rsid w:val="0002517B"/>
    <w:rsid w:val="000E063A"/>
    <w:rsid w:val="00127FA0"/>
    <w:rsid w:val="001440E1"/>
    <w:rsid w:val="00175571"/>
    <w:rsid w:val="00177CFD"/>
    <w:rsid w:val="00197AE7"/>
    <w:rsid w:val="001A6B7E"/>
    <w:rsid w:val="001B309F"/>
    <w:rsid w:val="001B4C8F"/>
    <w:rsid w:val="001C2E67"/>
    <w:rsid w:val="001C3159"/>
    <w:rsid w:val="001C5514"/>
    <w:rsid w:val="00254707"/>
    <w:rsid w:val="002C6DBF"/>
    <w:rsid w:val="003129CC"/>
    <w:rsid w:val="00337197"/>
    <w:rsid w:val="00380561"/>
    <w:rsid w:val="0039166D"/>
    <w:rsid w:val="00392380"/>
    <w:rsid w:val="003A33A4"/>
    <w:rsid w:val="00414893"/>
    <w:rsid w:val="004C110B"/>
    <w:rsid w:val="004F37CD"/>
    <w:rsid w:val="0050386D"/>
    <w:rsid w:val="005156CE"/>
    <w:rsid w:val="0057728F"/>
    <w:rsid w:val="005D294B"/>
    <w:rsid w:val="005D4A72"/>
    <w:rsid w:val="005E7A53"/>
    <w:rsid w:val="00600CA8"/>
    <w:rsid w:val="00681661"/>
    <w:rsid w:val="006D46FF"/>
    <w:rsid w:val="0072790E"/>
    <w:rsid w:val="0073027F"/>
    <w:rsid w:val="0073174C"/>
    <w:rsid w:val="007406AC"/>
    <w:rsid w:val="00744FEF"/>
    <w:rsid w:val="00746545"/>
    <w:rsid w:val="00775386"/>
    <w:rsid w:val="007860CF"/>
    <w:rsid w:val="007932F1"/>
    <w:rsid w:val="007E752B"/>
    <w:rsid w:val="008157F3"/>
    <w:rsid w:val="0081672E"/>
    <w:rsid w:val="0082008A"/>
    <w:rsid w:val="008402DA"/>
    <w:rsid w:val="00865433"/>
    <w:rsid w:val="00894769"/>
    <w:rsid w:val="008E4B4F"/>
    <w:rsid w:val="00926B11"/>
    <w:rsid w:val="00940B8D"/>
    <w:rsid w:val="009C44C3"/>
    <w:rsid w:val="009C745E"/>
    <w:rsid w:val="00A21C5A"/>
    <w:rsid w:val="00A71BF8"/>
    <w:rsid w:val="00AA29D0"/>
    <w:rsid w:val="00B16527"/>
    <w:rsid w:val="00B27440"/>
    <w:rsid w:val="00C34166"/>
    <w:rsid w:val="00C64F3C"/>
    <w:rsid w:val="00C8710B"/>
    <w:rsid w:val="00CB7CD0"/>
    <w:rsid w:val="00CE0DCA"/>
    <w:rsid w:val="00D01EEF"/>
    <w:rsid w:val="00D80DF2"/>
    <w:rsid w:val="00DF5572"/>
    <w:rsid w:val="00E05260"/>
    <w:rsid w:val="00EF1EB4"/>
    <w:rsid w:val="00F35B99"/>
    <w:rsid w:val="00F5041A"/>
    <w:rsid w:val="00F539D5"/>
    <w:rsid w:val="00FE272A"/>
    <w:rsid w:val="00FF530A"/>
    <w:rsid w:val="00FF795E"/>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51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8710B"/>
    <w:pPr>
      <w:spacing w:after="0" w:line="240" w:lineRule="auto"/>
    </w:pPr>
    <w:rPr>
      <w:rFonts w:ascii="Times New Roman" w:hAnsi="Times New Roman"/>
    </w:rPr>
  </w:style>
  <w:style w:type="paragraph" w:styleId="Cmsor3">
    <w:name w:val="heading 3"/>
    <w:basedOn w:val="Norml"/>
    <w:next w:val="Norml"/>
    <w:link w:val="Cmsor3Char"/>
    <w:uiPriority w:val="9"/>
    <w:unhideWhenUsed/>
    <w:qFormat/>
    <w:rsid w:val="0050386D"/>
    <w:pPr>
      <w:keepNext/>
      <w:keepLines/>
      <w:spacing w:before="40"/>
      <w:outlineLvl w:val="2"/>
    </w:pPr>
    <w:rPr>
      <w:rFonts w:asciiTheme="majorHAnsi" w:eastAsiaTheme="majorEastAsia" w:hAnsiTheme="majorHAnsi" w:cstheme="majorBidi"/>
      <w:color w:val="243F60" w:themeColor="accent1" w:themeShade="7F"/>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qFormat/>
    <w:rsid w:val="00AA29D0"/>
    <w:pPr>
      <w:jc w:val="both"/>
    </w:pPr>
    <w:rPr>
      <w:rFonts w:eastAsia="Times New Roman" w:cs="Times New Roman"/>
      <w:sz w:val="20"/>
      <w:szCs w:val="20"/>
    </w:rPr>
  </w:style>
  <w:style w:type="character" w:customStyle="1" w:styleId="LbjegyzetszvegChar">
    <w:name w:val="Lábjegyzetszöveg Char"/>
    <w:basedOn w:val="Bekezdsalapbettpusa"/>
    <w:link w:val="Lbjegyzetszveg"/>
    <w:semiHidden/>
    <w:rsid w:val="00AA29D0"/>
    <w:rPr>
      <w:rFonts w:ascii="Times New Roman" w:eastAsia="Times New Roman" w:hAnsi="Times New Roman" w:cs="Times New Roman"/>
      <w:sz w:val="20"/>
      <w:szCs w:val="20"/>
    </w:rPr>
  </w:style>
  <w:style w:type="table" w:styleId="Rcsostblzat">
    <w:name w:val="Table Grid"/>
    <w:basedOn w:val="Normltblzat"/>
    <w:uiPriority w:val="59"/>
    <w:rsid w:val="0084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00CA8"/>
    <w:pPr>
      <w:ind w:left="720"/>
      <w:contextualSpacing/>
    </w:pPr>
  </w:style>
  <w:style w:type="character" w:styleId="Hiperhivatkozs">
    <w:name w:val="Hyperlink"/>
    <w:basedOn w:val="Bekezdsalapbettpusa"/>
    <w:uiPriority w:val="99"/>
    <w:unhideWhenUsed/>
    <w:rsid w:val="001B4C8F"/>
    <w:rPr>
      <w:color w:val="0000FF" w:themeColor="hyperlink"/>
      <w:u w:val="single"/>
    </w:rPr>
  </w:style>
  <w:style w:type="character" w:customStyle="1" w:styleId="UnresolvedMention">
    <w:name w:val="Unresolved Mention"/>
    <w:basedOn w:val="Bekezdsalapbettpusa"/>
    <w:uiPriority w:val="99"/>
    <w:rsid w:val="001B4C8F"/>
    <w:rPr>
      <w:color w:val="605E5C"/>
      <w:shd w:val="clear" w:color="auto" w:fill="E1DFDD"/>
    </w:rPr>
  </w:style>
  <w:style w:type="character" w:customStyle="1" w:styleId="Cmsor3Char">
    <w:name w:val="Címsor 3 Char"/>
    <w:basedOn w:val="Bekezdsalapbettpusa"/>
    <w:link w:val="Cmsor3"/>
    <w:uiPriority w:val="9"/>
    <w:rsid w:val="0050386D"/>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ouwer@canta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3371</Characters>
  <Application>Microsoft Office Word</Application>
  <DocSecurity>0</DocSecurity>
  <Lines>28</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 Brouwer</dc:creator>
  <cp:keywords/>
  <dc:description/>
  <cp:lastModifiedBy>Lévai-Kiss Enikő</cp:lastModifiedBy>
  <cp:revision>2</cp:revision>
  <cp:lastPrinted>2014-05-22T11:31:00Z</cp:lastPrinted>
  <dcterms:created xsi:type="dcterms:W3CDTF">2019-08-22T09:47:00Z</dcterms:created>
  <dcterms:modified xsi:type="dcterms:W3CDTF">2019-08-22T09:47:00Z</dcterms:modified>
</cp:coreProperties>
</file>