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2918BB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2918BB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918BB">
              <w:rPr>
                <w:bCs/>
                <w:i/>
                <w:sz w:val="24"/>
                <w:szCs w:val="24"/>
                <w:lang w:val="en-US"/>
              </w:rPr>
              <w:t>Title and Code of Course</w:t>
            </w:r>
            <w:r w:rsidRPr="002918BB">
              <w:rPr>
                <w:bCs/>
                <w:sz w:val="24"/>
                <w:szCs w:val="24"/>
                <w:lang w:val="en-US"/>
              </w:rPr>
              <w:t xml:space="preserve">: </w:t>
            </w:r>
            <w:r w:rsidR="006B0BE4" w:rsidRPr="006B0BE4">
              <w:rPr>
                <w:b/>
                <w:bCs/>
                <w:sz w:val="24"/>
                <w:szCs w:val="24"/>
                <w:lang w:val="en-US"/>
              </w:rPr>
              <w:t>ERPB-MPS2781</w:t>
            </w:r>
            <w:r w:rsidR="005B2397" w:rsidRPr="006B0BE4">
              <w:rPr>
                <w:b/>
                <w:bCs/>
                <w:sz w:val="24"/>
                <w:szCs w:val="24"/>
                <w:lang w:val="en-US"/>
              </w:rPr>
              <w:t xml:space="preserve">Acceptance and </w:t>
            </w:r>
            <w:r w:rsidR="00F07CD2" w:rsidRPr="006B0BE4">
              <w:rPr>
                <w:b/>
                <w:bCs/>
                <w:sz w:val="24"/>
                <w:szCs w:val="24"/>
                <w:lang w:val="en-US"/>
              </w:rPr>
              <w:t>Commitment</w:t>
            </w:r>
            <w:r w:rsidR="005B2397" w:rsidRPr="006B0BE4">
              <w:rPr>
                <w:b/>
                <w:bCs/>
                <w:sz w:val="24"/>
                <w:szCs w:val="24"/>
                <w:lang w:val="en-US"/>
              </w:rPr>
              <w:t xml:space="preserve"> Therapy</w:t>
            </w:r>
          </w:p>
        </w:tc>
      </w:tr>
      <w:tr w:rsidR="004D5ED7" w:rsidRPr="002918BB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2918BB" w:rsidRDefault="004D5ED7" w:rsidP="00A566F5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lang w:val="en-US"/>
              </w:rPr>
            </w:pPr>
            <w:r w:rsidRPr="002918BB">
              <w:rPr>
                <w:bCs/>
                <w:i/>
                <w:sz w:val="24"/>
                <w:lang w:val="en-US"/>
              </w:rPr>
              <w:t>Instructor’s Name</w:t>
            </w:r>
            <w:r w:rsidRPr="002918BB">
              <w:rPr>
                <w:bCs/>
                <w:sz w:val="24"/>
                <w:lang w:val="en-US"/>
              </w:rPr>
              <w:t xml:space="preserve">: </w:t>
            </w:r>
            <w:r w:rsidR="005B2397" w:rsidRPr="002918BB">
              <w:rPr>
                <w:bCs/>
                <w:sz w:val="24"/>
                <w:lang w:val="en-US"/>
              </w:rPr>
              <w:t>Dr. Nikolett Eisenbeck</w:t>
            </w:r>
          </w:p>
        </w:tc>
      </w:tr>
      <w:tr w:rsidR="004D5ED7" w:rsidRPr="002918BB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2918BB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  <w:lang w:val="en-US"/>
              </w:rPr>
            </w:pPr>
            <w:r w:rsidRPr="002918BB">
              <w:rPr>
                <w:bCs/>
                <w:i/>
                <w:sz w:val="24"/>
                <w:lang w:val="en-US"/>
              </w:rPr>
              <w:t>Instructor’s Email Address</w:t>
            </w:r>
            <w:r w:rsidRPr="002918BB">
              <w:rPr>
                <w:bCs/>
                <w:sz w:val="24"/>
                <w:lang w:val="en-US"/>
              </w:rPr>
              <w:t xml:space="preserve">: </w:t>
            </w:r>
            <w:r w:rsidR="005B2397" w:rsidRPr="002918BB">
              <w:rPr>
                <w:bCs/>
                <w:sz w:val="24"/>
                <w:lang w:val="en-US"/>
              </w:rPr>
              <w:t>eisenbeckniki@gmail.com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2918BB" w:rsidTr="004D5ED7">
              <w:tc>
                <w:tcPr>
                  <w:tcW w:w="2154" w:type="dxa"/>
                  <w:shd w:val="clear" w:color="auto" w:fill="auto"/>
                </w:tcPr>
                <w:p w:rsidR="004D5ED7" w:rsidRPr="002918B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US"/>
                    </w:rPr>
                  </w:pPr>
                  <w:r w:rsidRPr="002918BB">
                    <w:rPr>
                      <w:bCs/>
                      <w:sz w:val="24"/>
                      <w:lang w:val="en-US"/>
                    </w:rPr>
                    <w:t>Credit Point Value:</w:t>
                  </w:r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2918B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US"/>
                    </w:rPr>
                  </w:pPr>
                  <w:r w:rsidRPr="002918BB">
                    <w:rPr>
                      <w:bCs/>
                      <w:sz w:val="24"/>
                      <w:lang w:val="en-US"/>
                    </w:rPr>
                    <w:t xml:space="preserve">Number of Lessons per Week:       </w:t>
                  </w:r>
                  <w:r w:rsidRPr="002918BB">
                    <w:rPr>
                      <w:b/>
                      <w:bCs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2918B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US"/>
                    </w:rPr>
                  </w:pPr>
                  <w:r w:rsidRPr="002918BB">
                    <w:rPr>
                      <w:bCs/>
                      <w:sz w:val="24"/>
                      <w:lang w:val="en-US"/>
                    </w:rPr>
                    <w:t>Type of Course:</w:t>
                  </w:r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1573161157"/>
                    </w:sdtPr>
                    <w:sdtEndPr/>
                    <w:sdtContent>
                      <w:r w:rsidR="00F07CD2">
                        <w:rPr>
                          <w:b/>
                          <w:bCs/>
                          <w:sz w:val="24"/>
                          <w:lang w:val="en-US"/>
                        </w:rPr>
                        <w:t>X</w:t>
                      </w:r>
                    </w:sdtContent>
                  </w:sdt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1457216956"/>
                    </w:sdtPr>
                    <w:sdtEndPr/>
                    <w:sdtContent>
                      <w:r w:rsidRPr="002918BB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2918B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US"/>
                    </w:rPr>
                  </w:pPr>
                  <w:r w:rsidRPr="002918BB">
                    <w:rPr>
                      <w:bCs/>
                      <w:sz w:val="24"/>
                      <w:lang w:val="en-US"/>
                    </w:rPr>
                    <w:t>Method of Evaluation:</w:t>
                  </w:r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1339431080"/>
                    </w:sdtPr>
                    <w:sdtEndPr/>
                    <w:sdtContent>
                      <w:r w:rsidRPr="002918BB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US"/>
                        </w:rPr>
                        <w:t>☐</w:t>
                      </w:r>
                    </w:sdtContent>
                  </w:sdt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-1146507399"/>
                    </w:sdtPr>
                    <w:sdtEndPr/>
                    <w:sdtContent>
                      <w:r w:rsidR="005B2397" w:rsidRPr="002918BB">
                        <w:rPr>
                          <w:b/>
                          <w:bCs/>
                          <w:sz w:val="24"/>
                          <w:lang w:val="en-US"/>
                        </w:rPr>
                        <w:t>X</w:t>
                      </w:r>
                    </w:sdtContent>
                  </w:sdt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883982887"/>
                    </w:sdtPr>
                    <w:sdtEndPr/>
                    <w:sdtContent>
                      <w:r w:rsidRPr="002918BB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Pr="002918BB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lang w:val="en-US"/>
              </w:rPr>
            </w:pPr>
          </w:p>
        </w:tc>
      </w:tr>
      <w:tr w:rsidR="004D5ED7" w:rsidRPr="002918BB" w:rsidTr="004D5ED7">
        <w:trPr>
          <w:cantSplit/>
          <w:trHeight w:val="2116"/>
        </w:trPr>
        <w:tc>
          <w:tcPr>
            <w:tcW w:w="9497" w:type="dxa"/>
          </w:tcPr>
          <w:p w:rsidR="004D5ED7" w:rsidRPr="002918BB" w:rsidRDefault="004D5ED7" w:rsidP="00810B34">
            <w:pPr>
              <w:rPr>
                <w:b/>
                <w:sz w:val="24"/>
                <w:lang w:val="en-US"/>
              </w:rPr>
            </w:pPr>
            <w:r w:rsidRPr="002918BB">
              <w:rPr>
                <w:b/>
                <w:sz w:val="24"/>
                <w:lang w:val="en-US"/>
              </w:rPr>
              <w:t>Course Description:</w:t>
            </w:r>
          </w:p>
          <w:p w:rsidR="004D5ED7" w:rsidRPr="002918BB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5B2397" w:rsidRPr="002918BB" w:rsidRDefault="005B2397" w:rsidP="001D4D01">
            <w:pPr>
              <w:ind w:left="283" w:right="293"/>
              <w:jc w:val="both"/>
              <w:rPr>
                <w:lang w:val="en-US"/>
              </w:rPr>
            </w:pPr>
            <w:r w:rsidRPr="002918BB">
              <w:rPr>
                <w:sz w:val="24"/>
                <w:szCs w:val="24"/>
                <w:lang w:val="en-US"/>
              </w:rPr>
              <w:t xml:space="preserve">The course aims to present one of the most successful modern psychotherapies, the Acceptance and Commitment Therapy (ACT; 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Hayes, </w:t>
            </w:r>
            <w:proofErr w:type="spellStart"/>
            <w:r w:rsidR="005E442D" w:rsidRPr="002918BB">
              <w:rPr>
                <w:sz w:val="24"/>
                <w:szCs w:val="24"/>
                <w:lang w:val="en-US"/>
              </w:rPr>
              <w:t>Stroshal</w:t>
            </w:r>
            <w:proofErr w:type="spellEnd"/>
            <w:r w:rsidR="005E442D" w:rsidRPr="002918BB">
              <w:rPr>
                <w:sz w:val="24"/>
                <w:szCs w:val="24"/>
                <w:lang w:val="en-US"/>
              </w:rPr>
              <w:t xml:space="preserve"> &amp; Wilson, 2011). </w:t>
            </w:r>
            <w:r w:rsidRPr="002918BB">
              <w:rPr>
                <w:sz w:val="24"/>
                <w:szCs w:val="24"/>
                <w:lang w:val="en-US"/>
              </w:rPr>
              <w:t>According to ACT, the source of human suffering is the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 so-called</w:t>
            </w:r>
            <w:r w:rsidRPr="002918BB">
              <w:rPr>
                <w:sz w:val="24"/>
                <w:szCs w:val="24"/>
                <w:lang w:val="en-US"/>
              </w:rPr>
              <w:t xml:space="preserve"> psychological inflexibility: attempts to control unwanted thoughts and feeli</w:t>
            </w:r>
            <w:bookmarkStart w:id="0" w:name="_GoBack"/>
            <w:bookmarkEnd w:id="0"/>
            <w:r w:rsidRPr="002918BB">
              <w:rPr>
                <w:sz w:val="24"/>
                <w:szCs w:val="24"/>
                <w:lang w:val="en-US"/>
              </w:rPr>
              <w:t>ngs instead of living a</w:t>
            </w:r>
            <w:r w:rsidR="009F4607" w:rsidRPr="002918BB">
              <w:rPr>
                <w:sz w:val="24"/>
                <w:szCs w:val="24"/>
                <w:lang w:val="en-US"/>
              </w:rPr>
              <w:t xml:space="preserve"> </w:t>
            </w:r>
            <w:r w:rsidRPr="002918BB">
              <w:rPr>
                <w:sz w:val="24"/>
                <w:szCs w:val="24"/>
                <w:lang w:val="en-US"/>
              </w:rPr>
              <w:t>life</w:t>
            </w:r>
            <w:r w:rsidR="009F4607" w:rsidRPr="002918BB">
              <w:rPr>
                <w:sz w:val="24"/>
                <w:szCs w:val="24"/>
                <w:lang w:val="en-US"/>
              </w:rPr>
              <w:t xml:space="preserve"> based on personal values</w:t>
            </w:r>
            <w:r w:rsidRPr="002918BB">
              <w:rPr>
                <w:sz w:val="24"/>
                <w:szCs w:val="24"/>
                <w:lang w:val="en-US"/>
              </w:rPr>
              <w:t>.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 Thus, ACT does not attempt to directly change </w:t>
            </w:r>
            <w:r w:rsidR="009F4607" w:rsidRPr="002918BB">
              <w:rPr>
                <w:sz w:val="24"/>
                <w:szCs w:val="24"/>
                <w:lang w:val="en-US"/>
              </w:rPr>
              <w:t>problematic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 thoughts or feelings, but seek to modify the person’s relationship with them by focusing</w:t>
            </w:r>
            <w:r w:rsidRPr="002918BB">
              <w:rPr>
                <w:sz w:val="24"/>
                <w:szCs w:val="24"/>
                <w:lang w:val="en-US"/>
              </w:rPr>
              <w:t xml:space="preserve"> on the development of a meaningful life while accepting inner experiences as they appear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. During the course, the participants learn the theoretical background and basic concepts of ACT, </w:t>
            </w:r>
            <w:r w:rsidR="000008C1" w:rsidRPr="002918BB">
              <w:rPr>
                <w:sz w:val="24"/>
                <w:szCs w:val="24"/>
                <w:lang w:val="en-US"/>
              </w:rPr>
              <w:t>especially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 its </w:t>
            </w:r>
            <w:r w:rsidR="009F4607" w:rsidRPr="002918BB">
              <w:rPr>
                <w:sz w:val="24"/>
                <w:szCs w:val="24"/>
                <w:lang w:val="en-US"/>
              </w:rPr>
              <w:t>associations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 with the Relational Frame Theory</w:t>
            </w:r>
            <w:r w:rsidR="003B66E1" w:rsidRPr="002918BB">
              <w:rPr>
                <w:sz w:val="24"/>
                <w:szCs w:val="24"/>
                <w:lang w:val="en-US"/>
              </w:rPr>
              <w:t xml:space="preserve"> (RFT; e.g., Hayes, Barnes-Holmes, &amp; Roche, 2001; </w:t>
            </w:r>
            <w:proofErr w:type="spellStart"/>
            <w:r w:rsidR="003B66E1" w:rsidRPr="002918BB">
              <w:rPr>
                <w:sz w:val="24"/>
                <w:szCs w:val="24"/>
                <w:lang w:val="en-US"/>
              </w:rPr>
              <w:t>Torneke</w:t>
            </w:r>
            <w:proofErr w:type="spellEnd"/>
            <w:r w:rsidR="003B66E1" w:rsidRPr="002918BB">
              <w:rPr>
                <w:sz w:val="24"/>
                <w:szCs w:val="24"/>
                <w:lang w:val="en-US"/>
              </w:rPr>
              <w:t>, Barnes-Holmes, &amp; Hayes, 2010).</w:t>
            </w:r>
            <w:r w:rsidR="001D4D01">
              <w:rPr>
                <w:sz w:val="24"/>
                <w:szCs w:val="24"/>
                <w:lang w:val="en-US"/>
              </w:rPr>
              <w:t xml:space="preserve"> </w:t>
            </w:r>
            <w:r w:rsidR="003B66E1" w:rsidRPr="002918BB">
              <w:rPr>
                <w:sz w:val="24"/>
                <w:szCs w:val="24"/>
                <w:lang w:val="en-US"/>
              </w:rPr>
              <w:t>ACT-related technique</w:t>
            </w:r>
            <w:r w:rsidR="00277A6D" w:rsidRPr="002918BB">
              <w:rPr>
                <w:sz w:val="24"/>
                <w:szCs w:val="24"/>
                <w:lang w:val="en-US"/>
              </w:rPr>
              <w:t xml:space="preserve">s, </w:t>
            </w:r>
            <w:r w:rsidR="003B66E1" w:rsidRPr="002918BB">
              <w:rPr>
                <w:sz w:val="24"/>
                <w:szCs w:val="24"/>
                <w:lang w:val="en-US"/>
              </w:rPr>
              <w:t xml:space="preserve">such as physical exercises, metaphors, mindfulness, </w:t>
            </w:r>
            <w:proofErr w:type="spellStart"/>
            <w:r w:rsidR="003B66E1" w:rsidRPr="002918BB">
              <w:rPr>
                <w:sz w:val="24"/>
                <w:szCs w:val="24"/>
                <w:lang w:val="en-US"/>
              </w:rPr>
              <w:t>defusion</w:t>
            </w:r>
            <w:proofErr w:type="spellEnd"/>
            <w:r w:rsidR="003B66E1" w:rsidRPr="002918BB">
              <w:rPr>
                <w:sz w:val="24"/>
                <w:szCs w:val="24"/>
                <w:lang w:val="en-US"/>
              </w:rPr>
              <w:t>, acce</w:t>
            </w:r>
            <w:r w:rsidR="009F4607" w:rsidRPr="002918BB">
              <w:rPr>
                <w:sz w:val="24"/>
                <w:szCs w:val="24"/>
                <w:lang w:val="en-US"/>
              </w:rPr>
              <w:t>p</w:t>
            </w:r>
            <w:r w:rsidR="003B66E1" w:rsidRPr="002918BB">
              <w:rPr>
                <w:sz w:val="24"/>
                <w:szCs w:val="24"/>
                <w:lang w:val="en-US"/>
              </w:rPr>
              <w:t>ta</w:t>
            </w:r>
            <w:r w:rsidR="009F4607" w:rsidRPr="002918BB">
              <w:rPr>
                <w:sz w:val="24"/>
                <w:szCs w:val="24"/>
                <w:lang w:val="en-US"/>
              </w:rPr>
              <w:t>n</w:t>
            </w:r>
            <w:r w:rsidR="003B66E1" w:rsidRPr="002918BB">
              <w:rPr>
                <w:sz w:val="24"/>
                <w:szCs w:val="24"/>
                <w:lang w:val="en-US"/>
              </w:rPr>
              <w:t xml:space="preserve">ce and values-based techniques are </w:t>
            </w:r>
            <w:r w:rsidR="000008C1" w:rsidRPr="002918BB">
              <w:rPr>
                <w:sz w:val="24"/>
                <w:szCs w:val="24"/>
                <w:lang w:val="en-US"/>
              </w:rPr>
              <w:t xml:space="preserve">presented with an emphasis on experiential learning. </w:t>
            </w:r>
            <w:r w:rsidR="009F4607" w:rsidRPr="002918BB">
              <w:rPr>
                <w:sz w:val="24"/>
                <w:szCs w:val="24"/>
                <w:lang w:val="en-US"/>
              </w:rPr>
              <w:t xml:space="preserve">The assessment for this course is through oral presentations about a chosen aspect of the therapy and by showing evidence of knowledge and skills gained during the coursework. </w:t>
            </w:r>
          </w:p>
        </w:tc>
      </w:tr>
      <w:tr w:rsidR="004D5ED7" w:rsidRPr="002918BB" w:rsidTr="004D5ED7">
        <w:trPr>
          <w:cantSplit/>
          <w:trHeight w:val="315"/>
        </w:trPr>
        <w:tc>
          <w:tcPr>
            <w:tcW w:w="9497" w:type="dxa"/>
          </w:tcPr>
          <w:p w:rsidR="004D5ED7" w:rsidRPr="002918BB" w:rsidRDefault="004D5ED7" w:rsidP="00810B34">
            <w:pPr>
              <w:rPr>
                <w:b/>
                <w:sz w:val="24"/>
                <w:lang w:val="en-US"/>
              </w:rPr>
            </w:pPr>
            <w:r w:rsidRPr="002918BB">
              <w:rPr>
                <w:b/>
                <w:sz w:val="24"/>
                <w:lang w:val="en-US"/>
              </w:rPr>
              <w:t>Bibliography:</w:t>
            </w:r>
          </w:p>
          <w:p w:rsidR="00BE56DA" w:rsidRPr="002918BB" w:rsidRDefault="00F07CD2" w:rsidP="000008C1">
            <w:pPr>
              <w:ind w:left="720" w:hanging="720"/>
              <w:jc w:val="both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Harris, R. (2008). </w:t>
            </w:r>
            <w:r w:rsidRPr="002918BB">
              <w:rPr>
                <w:rFonts w:eastAsia="Calibri"/>
                <w:i/>
                <w:noProof/>
                <w:sz w:val="24"/>
                <w:szCs w:val="24"/>
                <w:lang w:val="en-US" w:eastAsia="en-US"/>
              </w:rPr>
              <w:t>The Happiness Trap: How to Stop Struggling and Start Living: A Guide to ACT</w:t>
            </w: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>: Shambhala.</w:t>
            </w:r>
          </w:p>
          <w:p w:rsidR="003B66E1" w:rsidRPr="002918BB" w:rsidRDefault="003B66E1" w:rsidP="000008C1">
            <w:pPr>
              <w:ind w:left="720" w:hanging="720"/>
              <w:jc w:val="both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Harris, R. (2009). </w:t>
            </w:r>
            <w:r w:rsidRPr="002918BB">
              <w:rPr>
                <w:rFonts w:eastAsia="Calibri"/>
                <w:i/>
                <w:noProof/>
                <w:sz w:val="24"/>
                <w:szCs w:val="24"/>
                <w:lang w:val="en-US" w:eastAsia="en-US"/>
              </w:rPr>
              <w:t>ACT made simple: An easy-to-read primer on acceptance and commitment therapy:</w:t>
            </w: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 New Harbinger Publications.</w:t>
            </w:r>
          </w:p>
          <w:p w:rsidR="000008C1" w:rsidRPr="002918BB" w:rsidRDefault="000008C1" w:rsidP="000008C1">
            <w:pPr>
              <w:ind w:left="720" w:hanging="720"/>
              <w:jc w:val="both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Hayes, S. C., Luoma, J. B., Bond, F. W.,Masuda, A., &amp;Lillis, J. (2006). Acceptance and commitment therapy: Model, processes and outcomes. </w:t>
            </w:r>
            <w:r w:rsidRPr="002918BB">
              <w:rPr>
                <w:rFonts w:eastAsia="Calibri"/>
                <w:i/>
                <w:noProof/>
                <w:sz w:val="24"/>
                <w:szCs w:val="24"/>
                <w:lang w:val="en-US" w:eastAsia="en-US"/>
              </w:rPr>
              <w:t>Behav Res Ther, 44</w:t>
            </w: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>(1), 1-25.</w:t>
            </w:r>
          </w:p>
          <w:p w:rsidR="005E442D" w:rsidRPr="002918BB" w:rsidRDefault="005E442D" w:rsidP="000008C1">
            <w:pPr>
              <w:ind w:left="720" w:hanging="720"/>
              <w:jc w:val="both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5E442D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Hayes, S. C., Strosahl, K. D., &amp; Wilson, K. G. (2011). </w:t>
            </w:r>
            <w:r w:rsidRPr="005E442D">
              <w:rPr>
                <w:rFonts w:eastAsia="Calibri"/>
                <w:i/>
                <w:noProof/>
                <w:sz w:val="24"/>
                <w:szCs w:val="24"/>
                <w:lang w:val="en-US" w:eastAsia="en-US"/>
              </w:rPr>
              <w:t>Acceptance and Commitment Therapy, Second Edition: The Process and Practice of Mindful Change</w:t>
            </w:r>
            <w:r w:rsidRPr="005E442D">
              <w:rPr>
                <w:rFonts w:eastAsia="Calibri"/>
                <w:noProof/>
                <w:sz w:val="24"/>
                <w:szCs w:val="24"/>
                <w:lang w:val="en-US" w:eastAsia="en-US"/>
              </w:rPr>
              <w:t>: Guilford Publications.</w:t>
            </w:r>
          </w:p>
          <w:p w:rsidR="003B66E1" w:rsidRPr="005E442D" w:rsidRDefault="003B66E1" w:rsidP="000008C1">
            <w:pPr>
              <w:ind w:left="720" w:hanging="720"/>
              <w:jc w:val="both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Torneke, N., Barnes-Holmes, D., &amp; Hayes, S. C. (2010). </w:t>
            </w:r>
            <w:r w:rsidRPr="002918BB">
              <w:rPr>
                <w:rFonts w:eastAsia="Calibri"/>
                <w:i/>
                <w:noProof/>
                <w:sz w:val="24"/>
                <w:szCs w:val="24"/>
                <w:lang w:val="en-US" w:eastAsia="en-US"/>
              </w:rPr>
              <w:t>Learning RFT: An Introduction to Relational Frame Theory and Its Clinical Application:</w:t>
            </w: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 New Harbinger Publications.</w:t>
            </w:r>
          </w:p>
          <w:p w:rsidR="004D5ED7" w:rsidRPr="002918BB" w:rsidRDefault="004D5ED7" w:rsidP="00810B34">
            <w:pPr>
              <w:rPr>
                <w:b/>
                <w:sz w:val="24"/>
                <w:lang w:val="en-US"/>
              </w:rPr>
            </w:pPr>
          </w:p>
        </w:tc>
      </w:tr>
    </w:tbl>
    <w:p w:rsidR="008D105C" w:rsidRPr="002918BB" w:rsidRDefault="006B0BE4">
      <w:pPr>
        <w:rPr>
          <w:lang w:val="en-US"/>
        </w:rPr>
      </w:pPr>
    </w:p>
    <w:sectPr w:rsidR="008D105C" w:rsidRPr="002918BB" w:rsidSect="00B3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5ED7"/>
    <w:rsid w:val="000008C1"/>
    <w:rsid w:val="001A5F72"/>
    <w:rsid w:val="001D4D01"/>
    <w:rsid w:val="00277A6D"/>
    <w:rsid w:val="002918BB"/>
    <w:rsid w:val="003B66E1"/>
    <w:rsid w:val="004D2B2D"/>
    <w:rsid w:val="004D5ED7"/>
    <w:rsid w:val="005B2397"/>
    <w:rsid w:val="005E442D"/>
    <w:rsid w:val="006B0BE4"/>
    <w:rsid w:val="006C2C24"/>
    <w:rsid w:val="00867567"/>
    <w:rsid w:val="009F4607"/>
    <w:rsid w:val="00A566F5"/>
    <w:rsid w:val="00B33690"/>
    <w:rsid w:val="00B70AD0"/>
    <w:rsid w:val="00D2334F"/>
    <w:rsid w:val="00D33EAB"/>
    <w:rsid w:val="00DC5723"/>
    <w:rsid w:val="00F0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89526"/>
  <w15:docId w15:val="{B11654AF-509D-42EB-8E0A-3DD0CF2A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F46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Dóra</dc:creator>
  <cp:lastModifiedBy>Vasvári Nóra</cp:lastModifiedBy>
  <cp:revision>3</cp:revision>
  <dcterms:created xsi:type="dcterms:W3CDTF">2018-04-10T19:15:00Z</dcterms:created>
  <dcterms:modified xsi:type="dcterms:W3CDTF">2018-10-10T05:56:00Z</dcterms:modified>
</cp:coreProperties>
</file>