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450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020B22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020B22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20B22">
              <w:rPr>
                <w:bCs/>
                <w:sz w:val="24"/>
                <w:szCs w:val="24"/>
              </w:rPr>
              <w:t xml:space="preserve">ERPB-BPS1251 </w:t>
            </w:r>
            <w:r w:rsidR="008A297B">
              <w:rPr>
                <w:bCs/>
                <w:sz w:val="24"/>
                <w:szCs w:val="24"/>
              </w:rPr>
              <w:t xml:space="preserve">General </w:t>
            </w:r>
            <w:proofErr w:type="spellStart"/>
            <w:r w:rsidR="008A297B">
              <w:rPr>
                <w:bCs/>
                <w:sz w:val="24"/>
                <w:szCs w:val="24"/>
              </w:rPr>
              <w:t>Psychology</w:t>
            </w:r>
            <w:proofErr w:type="spellEnd"/>
            <w:r w:rsidR="008A297B">
              <w:rPr>
                <w:bCs/>
                <w:sz w:val="24"/>
                <w:szCs w:val="24"/>
              </w:rPr>
              <w:t xml:space="preserve"> 2.</w:t>
            </w:r>
            <w:r w:rsidR="00020B2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20B22">
              <w:rPr>
                <w:bCs/>
                <w:sz w:val="24"/>
                <w:szCs w:val="24"/>
              </w:rPr>
              <w:t>practice</w:t>
            </w:r>
            <w:proofErr w:type="spellEnd"/>
          </w:p>
        </w:tc>
      </w:tr>
      <w:tr w:rsidR="004D5ED7" w:rsidTr="00020B22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020B22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8A297B">
              <w:rPr>
                <w:bCs/>
                <w:sz w:val="24"/>
              </w:rPr>
              <w:t>Dr. Kövi Zsuzsanna</w:t>
            </w:r>
          </w:p>
        </w:tc>
      </w:tr>
      <w:tr w:rsidR="004D5ED7" w:rsidTr="00020B22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020B22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8A297B">
              <w:rPr>
                <w:bCs/>
                <w:sz w:val="24"/>
              </w:rPr>
              <w:t>kovi.zsuzsanna@kre.hu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8A297B" w:rsidRPr="00AB23C5" w:rsidTr="004D5ED7">
              <w:tc>
                <w:tcPr>
                  <w:tcW w:w="2154" w:type="dxa"/>
                  <w:shd w:val="clear" w:color="auto" w:fill="auto"/>
                </w:tcPr>
                <w:p w:rsidR="008A297B" w:rsidRPr="00AB23C5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8A297B" w:rsidRPr="00AB23C5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A297B" w:rsidRPr="00AB23C5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8A297B" w:rsidRPr="00AB23C5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8A297B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8A297B" w:rsidRPr="00E236AE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8A297B" w:rsidRPr="00AB23C5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8A297B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8A297B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8A297B" w:rsidRPr="00E236AE" w:rsidRDefault="008A297B" w:rsidP="00020B22">
                  <w:pPr>
                    <w:keepNext/>
                    <w:framePr w:hSpace="141" w:wrap="around" w:hAnchor="text" w:y="-450"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020B22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020B22">
        <w:trPr>
          <w:cantSplit/>
          <w:trHeight w:val="2116"/>
        </w:trPr>
        <w:tc>
          <w:tcPr>
            <w:tcW w:w="9497" w:type="dxa"/>
          </w:tcPr>
          <w:p w:rsidR="004D5ED7" w:rsidRDefault="004D5ED7" w:rsidP="00020B2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020B22" w:rsidRDefault="008A297B" w:rsidP="00020B2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i/>
                <w:sz w:val="24"/>
                <w:szCs w:val="24"/>
              </w:rPr>
              <w:t>aim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course</w:t>
            </w:r>
            <w:proofErr w:type="spellEnd"/>
            <w:r>
              <w:rPr>
                <w:i/>
                <w:sz w:val="24"/>
                <w:szCs w:val="24"/>
              </w:rPr>
              <w:t xml:space="preserve"> is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provide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practical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knowledge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theoretical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background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DB085C">
              <w:rPr>
                <w:i/>
                <w:sz w:val="24"/>
                <w:szCs w:val="24"/>
              </w:rPr>
              <w:t>of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24B21">
              <w:rPr>
                <w:i/>
                <w:sz w:val="24"/>
                <w:szCs w:val="24"/>
              </w:rPr>
              <w:t>memory</w:t>
            </w:r>
            <w:proofErr w:type="spellEnd"/>
            <w:r w:rsidR="00924B21"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problem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solving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creativity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emotion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motivation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eating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sexuality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aggression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  <w:r w:rsidRPr="00DB085C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The </w:t>
            </w:r>
            <w:proofErr w:type="spellStart"/>
            <w:r>
              <w:rPr>
                <w:i/>
                <w:sz w:val="24"/>
                <w:szCs w:val="24"/>
              </w:rPr>
              <w:t>students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will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participate</w:t>
            </w:r>
            <w:proofErr w:type="spellEnd"/>
            <w:r>
              <w:rPr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i/>
                <w:sz w:val="24"/>
                <w:szCs w:val="24"/>
              </w:rPr>
              <w:t>experiments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demonstrations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get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know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measurement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tools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discuss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relevant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topics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end of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semester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students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need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presentations</w:t>
            </w:r>
            <w:proofErr w:type="spellEnd"/>
            <w:r>
              <w:rPr>
                <w:i/>
                <w:sz w:val="24"/>
                <w:szCs w:val="24"/>
              </w:rPr>
              <w:t xml:space="preserve"> in a mini-</w:t>
            </w:r>
            <w:proofErr w:type="spellStart"/>
            <w:r>
              <w:rPr>
                <w:i/>
                <w:sz w:val="24"/>
                <w:szCs w:val="24"/>
              </w:rPr>
              <w:t>conference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course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Students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will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need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write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two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classroom</w:t>
            </w:r>
            <w:proofErr w:type="spellEnd"/>
            <w:r>
              <w:rPr>
                <w:i/>
                <w:sz w:val="24"/>
                <w:szCs w:val="24"/>
              </w:rPr>
              <w:t xml:space="preserve"> test </w:t>
            </w:r>
            <w:proofErr w:type="spellStart"/>
            <w:r>
              <w:rPr>
                <w:i/>
                <w:sz w:val="24"/>
                <w:szCs w:val="24"/>
              </w:rPr>
              <w:t>papers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well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based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classroom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activities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required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readings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sz w:val="24"/>
                <w:szCs w:val="24"/>
              </w:rPr>
              <w:t>see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bibliography</w:t>
            </w:r>
            <w:proofErr w:type="spellEnd"/>
            <w:r>
              <w:rPr>
                <w:i/>
                <w:sz w:val="24"/>
                <w:szCs w:val="24"/>
              </w:rPr>
              <w:t>).</w:t>
            </w:r>
          </w:p>
        </w:tc>
      </w:tr>
      <w:tr w:rsidR="00020B22" w:rsidTr="00020B22">
        <w:trPr>
          <w:cantSplit/>
          <w:trHeight w:val="8166"/>
        </w:trPr>
        <w:tc>
          <w:tcPr>
            <w:tcW w:w="9497" w:type="dxa"/>
          </w:tcPr>
          <w:p w:rsidR="00020B22" w:rsidRPr="00020B22" w:rsidRDefault="00020B22" w:rsidP="00020B22">
            <w:pPr>
              <w:rPr>
                <w:b/>
                <w:sz w:val="22"/>
              </w:rPr>
            </w:pPr>
            <w:proofErr w:type="spellStart"/>
            <w:r w:rsidRPr="00020B22">
              <w:rPr>
                <w:b/>
                <w:sz w:val="22"/>
              </w:rPr>
              <w:t>Bibliography</w:t>
            </w:r>
            <w:proofErr w:type="spellEnd"/>
            <w:r w:rsidRPr="00020B22">
              <w:rPr>
                <w:b/>
                <w:sz w:val="22"/>
              </w:rPr>
              <w:t>:</w:t>
            </w:r>
          </w:p>
          <w:p w:rsidR="00020B22" w:rsidRPr="00020B22" w:rsidRDefault="00020B22" w:rsidP="00020B22">
            <w:pPr>
              <w:rPr>
                <w:b/>
                <w:bCs/>
                <w:iCs/>
                <w:sz w:val="22"/>
                <w:lang w:val="en-US"/>
              </w:rPr>
            </w:pPr>
            <w:r w:rsidRPr="00020B22">
              <w:rPr>
                <w:b/>
                <w:bCs/>
                <w:iCs/>
                <w:sz w:val="22"/>
                <w:lang w:val="en-US"/>
              </w:rPr>
              <w:t>Memory: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r w:rsidRPr="00020B22">
              <w:rPr>
                <w:bCs/>
                <w:iCs/>
                <w:sz w:val="22"/>
                <w:lang w:val="en-US"/>
              </w:rPr>
              <w:t xml:space="preserve">Hyman, I. E., Jr.,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Pentland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J. (1996) The role of mental imagery in the creation of false childhood memories. Journal of Memory and Language, 35, 101–117.</w:t>
            </w:r>
          </w:p>
          <w:p w:rsidR="00020B22" w:rsidRPr="00020B22" w:rsidRDefault="00020B22" w:rsidP="00020B22">
            <w:pPr>
              <w:rPr>
                <w:b/>
                <w:bCs/>
                <w:iCs/>
                <w:sz w:val="22"/>
                <w:lang w:val="en-US"/>
              </w:rPr>
            </w:pPr>
            <w:bookmarkStart w:id="0" w:name="_GoBack"/>
            <w:bookmarkEnd w:id="0"/>
            <w:r w:rsidRPr="00020B22">
              <w:rPr>
                <w:b/>
                <w:bCs/>
                <w:iCs/>
                <w:sz w:val="22"/>
                <w:lang w:val="en-US"/>
              </w:rPr>
              <w:t xml:space="preserve">Problem solving and creativity: 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proofErr w:type="spellStart"/>
            <w:r w:rsidRPr="00020B22">
              <w:rPr>
                <w:bCs/>
                <w:iCs/>
                <w:sz w:val="22"/>
                <w:lang w:val="en-US"/>
              </w:rPr>
              <w:t>Dorfman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J., Shames, V.A. &amp;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Kihlstrom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J.F. (1996) Intuition, Incubation, and Insight: Implicit Cognition in Problem </w:t>
            </w:r>
            <w:proofErr w:type="gramStart"/>
            <w:r w:rsidRPr="00020B22">
              <w:rPr>
                <w:bCs/>
                <w:iCs/>
                <w:sz w:val="22"/>
                <w:lang w:val="en-US"/>
              </w:rPr>
              <w:t>Solving,  In</w:t>
            </w:r>
            <w:proofErr w:type="gramEnd"/>
            <w:r w:rsidRPr="00020B22">
              <w:rPr>
                <w:bCs/>
                <w:iCs/>
                <w:sz w:val="22"/>
                <w:lang w:val="en-US"/>
              </w:rPr>
              <w:t xml:space="preserve"> Underwood, G. (Ed.). Implicit Cognition. (pp. 257-296).  Oxford: Oxford University Press. 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r w:rsidRPr="00020B22">
              <w:rPr>
                <w:bCs/>
                <w:iCs/>
                <w:sz w:val="22"/>
                <w:lang w:val="en-US"/>
              </w:rPr>
              <w:t>Sternberg, R.J. (2005). Creativity or creativities? International Journal of Human-Computer Studies, 63, 370–382.</w:t>
            </w:r>
          </w:p>
          <w:p w:rsidR="00020B22" w:rsidRPr="00020B22" w:rsidRDefault="00020B22" w:rsidP="00020B22">
            <w:pPr>
              <w:rPr>
                <w:b/>
                <w:bCs/>
                <w:iCs/>
                <w:sz w:val="22"/>
                <w:lang w:val="en-US"/>
              </w:rPr>
            </w:pPr>
            <w:r w:rsidRPr="00020B22">
              <w:rPr>
                <w:b/>
                <w:bCs/>
                <w:iCs/>
                <w:sz w:val="22"/>
                <w:lang w:val="en-US"/>
              </w:rPr>
              <w:t>Emotion: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r w:rsidRPr="00020B22">
              <w:rPr>
                <w:bCs/>
                <w:iCs/>
                <w:sz w:val="22"/>
                <w:lang w:val="en-US"/>
              </w:rPr>
              <w:t xml:space="preserve">Ekman, P. (1999). Basic emotions. In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Dalgleish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T., &amp; Power, M.  Handbook of Cognition and Emotion. New York: John Wiley &amp; Sons Ltd.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r w:rsidRPr="00020B22">
              <w:rPr>
                <w:bCs/>
                <w:iCs/>
                <w:sz w:val="22"/>
                <w:lang w:val="en-US"/>
              </w:rPr>
              <w:t xml:space="preserve">Ekman, P. (1999). Facial expressions. In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Dalgleish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T., &amp; Power, M. Handbook of Cognition and Emotion. New York: John Wiley &amp; Sons Ltd.</w:t>
            </w:r>
          </w:p>
          <w:p w:rsidR="00020B22" w:rsidRPr="00020B22" w:rsidRDefault="00020B22" w:rsidP="00020B22">
            <w:pPr>
              <w:rPr>
                <w:b/>
                <w:bCs/>
                <w:iCs/>
                <w:sz w:val="22"/>
                <w:lang w:val="en-US"/>
              </w:rPr>
            </w:pPr>
            <w:r w:rsidRPr="00020B22">
              <w:rPr>
                <w:b/>
                <w:bCs/>
                <w:iCs/>
                <w:sz w:val="22"/>
                <w:lang w:val="en-US"/>
              </w:rPr>
              <w:t>Motivation: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proofErr w:type="spellStart"/>
            <w:r w:rsidRPr="00020B22">
              <w:rPr>
                <w:bCs/>
                <w:iCs/>
                <w:sz w:val="22"/>
                <w:lang w:val="en-US"/>
              </w:rPr>
              <w:t>Pinel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J. P. J.,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Assanand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S., Lehman, D. R. (2000). Hunger, eating, and ill health. American Psychologist, 55(10), 1105–1116.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proofErr w:type="spellStart"/>
            <w:r w:rsidRPr="00020B22">
              <w:rPr>
                <w:bCs/>
                <w:iCs/>
                <w:sz w:val="22"/>
                <w:lang w:val="en-US"/>
              </w:rPr>
              <w:t>Stroebe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W., Van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Koningsbruggen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G. M.,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Papies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E. K., &amp;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Aarts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H. (2013). Why most dieters fail but some succeed: a goal conflict model of eating behavior. Psychological Review, 120(1), 110.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proofErr w:type="spellStart"/>
            <w:r w:rsidRPr="00020B22">
              <w:rPr>
                <w:bCs/>
                <w:iCs/>
                <w:sz w:val="22"/>
                <w:lang w:val="en-US"/>
              </w:rPr>
              <w:t>Nobre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P. J., Pinto-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Gouveia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J. (2009). Questionnaire of Cognitive Schema Activation in Sexual Context: A Measure to Assess Cognitive Schemas Activated in Unsuccessful Sexual Situations. Journal of Sex Research.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proofErr w:type="spellStart"/>
            <w:r w:rsidRPr="00020B22">
              <w:rPr>
                <w:bCs/>
                <w:iCs/>
                <w:sz w:val="22"/>
                <w:lang w:val="en-US"/>
              </w:rPr>
              <w:t>Papies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E. K.,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Pronk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T. M.,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Keesman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M., &amp;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Barsalou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L. W. (2015). The benefits of simply observing: Mindful attention modulates the link between motivation and behavior. Journal of Personality and Social Psychology, 108(1), 148.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proofErr w:type="spellStart"/>
            <w:r w:rsidRPr="00020B22">
              <w:rPr>
                <w:bCs/>
                <w:iCs/>
                <w:sz w:val="22"/>
                <w:lang w:val="en-US"/>
              </w:rPr>
              <w:t>Nobre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P. J., Pinto-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Gouveia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J. (2006). Dysfunctional sexual beliefs as vulnerability factors to sexual dysfunction. Journal of Sex Research. 43(1):68-75.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proofErr w:type="spellStart"/>
            <w:r w:rsidRPr="00020B22">
              <w:rPr>
                <w:bCs/>
                <w:iCs/>
                <w:sz w:val="22"/>
                <w:lang w:val="en-US"/>
              </w:rPr>
              <w:t>Zillmann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D. (1998). Connections between sexuality and aggression. Psychology Press. pp. 1–27.</w:t>
            </w:r>
          </w:p>
          <w:p w:rsidR="00020B22" w:rsidRPr="00020B22" w:rsidRDefault="00020B22" w:rsidP="00020B22">
            <w:pPr>
              <w:rPr>
                <w:bCs/>
                <w:iCs/>
                <w:sz w:val="22"/>
                <w:lang w:val="en-US"/>
              </w:rPr>
            </w:pPr>
            <w:proofErr w:type="spellStart"/>
            <w:r w:rsidRPr="00020B22">
              <w:rPr>
                <w:bCs/>
                <w:iCs/>
                <w:sz w:val="22"/>
                <w:lang w:val="en-US"/>
              </w:rPr>
              <w:t>Malamuth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 xml:space="preserve">, N. M., </w:t>
            </w:r>
            <w:proofErr w:type="spellStart"/>
            <w:r w:rsidRPr="00020B22">
              <w:rPr>
                <w:bCs/>
                <w:iCs/>
                <w:sz w:val="22"/>
                <w:lang w:val="en-US"/>
              </w:rPr>
              <w:t>Feshbach</w:t>
            </w:r>
            <w:proofErr w:type="spellEnd"/>
            <w:r w:rsidRPr="00020B22">
              <w:rPr>
                <w:bCs/>
                <w:iCs/>
                <w:sz w:val="22"/>
                <w:lang w:val="en-US"/>
              </w:rPr>
              <w:t>, S., &amp; Jaffe, Y. (1977). Sexual arousal and aggression: Recent experiments and theoretical issues. Journal of Social Issues, 33(2), 110-133.</w:t>
            </w:r>
          </w:p>
          <w:p w:rsidR="00020B22" w:rsidRPr="00020B22" w:rsidRDefault="00020B22" w:rsidP="00020B22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020B22">
              <w:rPr>
                <w:bCs/>
                <w:iCs/>
                <w:sz w:val="22"/>
                <w:lang w:val="en-US"/>
              </w:rPr>
              <w:t>http://www.sscnet.ucla.edu/comm/malamuth/pdf/77jsi33.pdf</w:t>
            </w:r>
          </w:p>
        </w:tc>
      </w:tr>
    </w:tbl>
    <w:p w:rsidR="008A297B" w:rsidRDefault="008A297B" w:rsidP="00020B22">
      <w:pPr>
        <w:rPr>
          <w:b/>
          <w:sz w:val="24"/>
        </w:rPr>
      </w:pPr>
    </w:p>
    <w:sectPr w:rsidR="008A297B" w:rsidSect="00020B22">
      <w:pgSz w:w="11906" w:h="16838"/>
      <w:pgMar w:top="1134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20B22"/>
    <w:rsid w:val="004D5ED7"/>
    <w:rsid w:val="006C2C24"/>
    <w:rsid w:val="008A297B"/>
    <w:rsid w:val="00924B21"/>
    <w:rsid w:val="00A67034"/>
    <w:rsid w:val="00D2334F"/>
    <w:rsid w:val="00D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A9B4"/>
  <w15:docId w15:val="{16F24A8D-C444-4ABC-840C-AA0C0A18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2599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2</cp:revision>
  <dcterms:created xsi:type="dcterms:W3CDTF">2018-10-16T06:24:00Z</dcterms:created>
  <dcterms:modified xsi:type="dcterms:W3CDTF">2018-10-16T06:24:00Z</dcterms:modified>
</cp:coreProperties>
</file>