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 w:rsidR="00F43A3D">
              <w:rPr>
                <w:bCs/>
                <w:sz w:val="24"/>
                <w:szCs w:val="24"/>
              </w:rPr>
              <w:t xml:space="preserve"> </w:t>
            </w:r>
            <w:r w:rsidR="00196B76">
              <w:rPr>
                <w:bCs/>
                <w:sz w:val="24"/>
                <w:szCs w:val="24"/>
              </w:rPr>
              <w:t>ERPB-</w:t>
            </w:r>
            <w:r w:rsidR="00F43A3D">
              <w:rPr>
                <w:bCs/>
                <w:sz w:val="24"/>
                <w:szCs w:val="24"/>
              </w:rPr>
              <w:t xml:space="preserve">BAN 3372 </w:t>
            </w:r>
            <w:bookmarkStart w:id="0" w:name="_GoBack"/>
            <w:proofErr w:type="spellStart"/>
            <w:r w:rsidR="00F43A3D">
              <w:rPr>
                <w:bCs/>
                <w:sz w:val="24"/>
                <w:szCs w:val="24"/>
              </w:rPr>
              <w:t>Literary</w:t>
            </w:r>
            <w:proofErr w:type="spellEnd"/>
            <w:r w:rsidR="00F43A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43A3D">
              <w:rPr>
                <w:bCs/>
                <w:sz w:val="24"/>
                <w:szCs w:val="24"/>
              </w:rPr>
              <w:t>Theory</w:t>
            </w:r>
            <w:proofErr w:type="spellEnd"/>
            <w:r w:rsidR="00F43A3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F43A3D">
              <w:rPr>
                <w:bCs/>
                <w:sz w:val="24"/>
                <w:szCs w:val="24"/>
              </w:rPr>
              <w:t>Alternative</w:t>
            </w:r>
            <w:proofErr w:type="spellEnd"/>
            <w:r w:rsidR="00F43A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43A3D">
              <w:rPr>
                <w:bCs/>
                <w:sz w:val="24"/>
                <w:szCs w:val="24"/>
              </w:rPr>
              <w:t>Canons</w:t>
            </w:r>
            <w:proofErr w:type="spellEnd"/>
            <w:r w:rsidR="00715516">
              <w:rPr>
                <w:bCs/>
                <w:sz w:val="24"/>
                <w:szCs w:val="24"/>
              </w:rPr>
              <w:t>:</w:t>
            </w:r>
            <w:r w:rsidR="005048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048E9">
              <w:rPr>
                <w:bCs/>
                <w:sz w:val="24"/>
                <w:szCs w:val="24"/>
              </w:rPr>
              <w:t>Postcolonial</w:t>
            </w:r>
            <w:proofErr w:type="spellEnd"/>
            <w:r w:rsidR="005048E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048E9">
              <w:rPr>
                <w:bCs/>
                <w:sz w:val="24"/>
                <w:szCs w:val="24"/>
              </w:rPr>
              <w:t>Literature</w:t>
            </w:r>
            <w:proofErr w:type="spellEnd"/>
            <w:r w:rsidR="00C944A0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C944A0">
              <w:rPr>
                <w:bCs/>
                <w:sz w:val="24"/>
                <w:szCs w:val="24"/>
              </w:rPr>
              <w:t>Culture</w:t>
            </w:r>
            <w:bookmarkEnd w:id="0"/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43A3D">
              <w:rPr>
                <w:bCs/>
                <w:sz w:val="24"/>
              </w:rPr>
              <w:t>Ágnes Györke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43A3D">
              <w:rPr>
                <w:bCs/>
                <w:sz w:val="24"/>
              </w:rPr>
              <w:t>gy</w:t>
            </w:r>
            <w:r w:rsidR="00196B76">
              <w:rPr>
                <w:bCs/>
                <w:sz w:val="24"/>
              </w:rPr>
              <w:t>orke.agnes@kre.hu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134FAD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5C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5C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5C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C944A0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</w:p>
          <w:p w:rsidR="004D5ED7" w:rsidRPr="00B61B66" w:rsidRDefault="00C944A0" w:rsidP="00B61B66">
            <w:pPr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>This course aims to explore literary texts and vi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sual images including paintings and films 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from the perspective of postcolonial cultural theory, focusing on issues such as orientalism, exoticization, </w:t>
            </w:r>
            <w:proofErr w:type="gramStart"/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>stereotyping</w:t>
            </w:r>
            <w:proofErr w:type="gramEnd"/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emotional engagement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among others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. Apart from exploring the cultural contexts of these texts, students will be encouraged to identify the narrative strategies the literary texts and artworks use in imagining </w:t>
            </w:r>
            <w:r w:rsidR="002D435F">
              <w:rPr>
                <w:rFonts w:ascii="Cambria" w:hAnsi="Cambria"/>
                <w:sz w:val="24"/>
                <w:szCs w:val="24"/>
                <w:lang w:val="en-GB"/>
              </w:rPr>
              <w:t>“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>the other</w:t>
            </w:r>
            <w:r w:rsidR="002D435F">
              <w:rPr>
                <w:rFonts w:ascii="Cambria" w:hAnsi="Cambria"/>
                <w:sz w:val="24"/>
                <w:szCs w:val="24"/>
                <w:lang w:val="en-GB"/>
              </w:rPr>
              <w:t>”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 as well as the affective responses the narratives evoke. The course will rely on a few key postcolonial texts (Bill Ashcroft</w:t>
            </w:r>
            <w:r w:rsidR="002D435F">
              <w:rPr>
                <w:rFonts w:ascii="Cambria" w:hAnsi="Cambria"/>
                <w:sz w:val="24"/>
                <w:szCs w:val="24"/>
                <w:lang w:val="en-GB"/>
              </w:rPr>
              <w:t>’s, Edward Said’s writings, for instance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) and it will also explore the main issues and concerns of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the postcolonial world, such as displacement</w:t>
            </w:r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 xml:space="preserve">, multiculturalism, </w:t>
            </w:r>
            <w:proofErr w:type="spellStart"/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>translocality</w:t>
            </w:r>
            <w:proofErr w:type="spellEnd"/>
            <w:r w:rsidRPr="00C944A0">
              <w:rPr>
                <w:rFonts w:ascii="Cambria" w:hAnsi="Cambria"/>
                <w:sz w:val="24"/>
                <w:szCs w:val="24"/>
                <w:lang w:val="en-GB"/>
              </w:rPr>
              <w:t>, the significance of global compara</w:t>
            </w:r>
            <w:r w:rsidR="00B61B66">
              <w:rPr>
                <w:rFonts w:ascii="Cambria" w:hAnsi="Cambria"/>
                <w:sz w:val="24"/>
                <w:szCs w:val="24"/>
                <w:lang w:val="en-GB"/>
              </w:rPr>
              <w:t xml:space="preserve">tive approaches, among others. </w:t>
            </w:r>
          </w:p>
        </w:tc>
      </w:tr>
      <w:tr w:rsidR="004D5ED7" w:rsidRPr="003D05CB" w:rsidTr="004D5ED7">
        <w:trPr>
          <w:cantSplit/>
          <w:trHeight w:val="315"/>
        </w:trPr>
        <w:tc>
          <w:tcPr>
            <w:tcW w:w="9497" w:type="dxa"/>
          </w:tcPr>
          <w:p w:rsidR="004D5ED7" w:rsidRPr="003D05CB" w:rsidRDefault="004D5ED7" w:rsidP="00810B34">
            <w:pPr>
              <w:rPr>
                <w:b/>
                <w:sz w:val="24"/>
                <w:lang w:val="en-GB"/>
              </w:rPr>
            </w:pPr>
            <w:r w:rsidRPr="003D05CB">
              <w:rPr>
                <w:b/>
                <w:sz w:val="24"/>
                <w:lang w:val="en-GB"/>
              </w:rPr>
              <w:lastRenderedPageBreak/>
              <w:t>Bibliography:</w:t>
            </w:r>
          </w:p>
          <w:p w:rsidR="004D5ED7" w:rsidRPr="003D05CB" w:rsidRDefault="004D5ED7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3D05CB" w:rsidRPr="003D05CB" w:rsidRDefault="003D05CB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3D05CB">
              <w:rPr>
                <w:b/>
                <w:bCs/>
                <w:iCs/>
                <w:sz w:val="24"/>
                <w:szCs w:val="24"/>
                <w:lang w:val="en-GB"/>
              </w:rPr>
              <w:t xml:space="preserve">Primary sources: </w:t>
            </w:r>
          </w:p>
          <w:p w:rsidR="003D05CB" w:rsidRDefault="003D05CB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B61B66" w:rsidRDefault="00B61B66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B61B66">
              <w:rPr>
                <w:bCs/>
                <w:i/>
                <w:iCs/>
                <w:sz w:val="24"/>
                <w:szCs w:val="24"/>
                <w:lang w:val="en-GB"/>
              </w:rPr>
              <w:t>Fiction</w:t>
            </w:r>
            <w:r w:rsidRPr="00B61B66">
              <w:rPr>
                <w:bCs/>
                <w:iCs/>
                <w:sz w:val="24"/>
                <w:szCs w:val="24"/>
                <w:lang w:val="en-GB"/>
              </w:rPr>
              <w:t xml:space="preserve">: </w:t>
            </w:r>
          </w:p>
          <w:p w:rsidR="00076376" w:rsidRPr="00B61B66" w:rsidRDefault="00076376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3D05CB" w:rsidRPr="00B61B66" w:rsidRDefault="003D05CB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E. M. Forster, </w:t>
            </w:r>
            <w:r w:rsidR="00B61B66">
              <w:rPr>
                <w:bCs/>
                <w:i/>
                <w:iCs/>
                <w:sz w:val="24"/>
                <w:szCs w:val="24"/>
                <w:lang w:val="en-GB"/>
              </w:rPr>
              <w:t xml:space="preserve">A Passage to India </w:t>
            </w:r>
            <w:r w:rsidR="00B61B66">
              <w:rPr>
                <w:bCs/>
                <w:iCs/>
                <w:sz w:val="24"/>
                <w:szCs w:val="24"/>
                <w:lang w:val="en-GB"/>
              </w:rPr>
              <w:t>(1924)</w:t>
            </w:r>
          </w:p>
          <w:p w:rsidR="00EC13A4" w:rsidRPr="00EC13A4" w:rsidRDefault="00EC13A4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>Doris Lessing, selected short stories</w:t>
            </w:r>
          </w:p>
          <w:p w:rsidR="00EC13A4" w:rsidRPr="00B61B66" w:rsidRDefault="00EC13A4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Jean Rhys, </w:t>
            </w: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Wide Sargasso Sea </w:t>
            </w:r>
            <w:r w:rsidR="00B61B66">
              <w:rPr>
                <w:bCs/>
                <w:iCs/>
                <w:sz w:val="24"/>
                <w:szCs w:val="24"/>
                <w:lang w:val="en-GB"/>
              </w:rPr>
              <w:t>(1966)</w:t>
            </w:r>
          </w:p>
          <w:p w:rsidR="00B61B66" w:rsidRDefault="00B61B66" w:rsidP="00B61B66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 xml:space="preserve">Salman Rushdie, </w:t>
            </w: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Haroun and the Sea of Stories </w:t>
            </w:r>
            <w:r>
              <w:rPr>
                <w:bCs/>
                <w:iCs/>
                <w:sz w:val="24"/>
                <w:szCs w:val="24"/>
                <w:lang w:val="en-GB"/>
              </w:rPr>
              <w:t>(1990)</w:t>
            </w: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B61B66" w:rsidRDefault="00B61B66" w:rsidP="00810B34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</w:p>
          <w:p w:rsidR="00B61B66" w:rsidRDefault="00B61B66" w:rsidP="00810B34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Films: </w:t>
            </w:r>
          </w:p>
          <w:p w:rsidR="00076376" w:rsidRDefault="00076376" w:rsidP="00810B34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</w:p>
          <w:p w:rsidR="00B61B66" w:rsidRPr="00B61B66" w:rsidRDefault="00B61B66" w:rsidP="00B61B66">
            <w:pPr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Midnight’s Children </w:t>
            </w:r>
            <w:r w:rsidR="000323D9">
              <w:rPr>
                <w:bCs/>
                <w:iCs/>
                <w:sz w:val="24"/>
                <w:szCs w:val="24"/>
                <w:lang w:val="en-GB"/>
              </w:rPr>
              <w:t>(</w:t>
            </w:r>
            <w:r>
              <w:rPr>
                <w:bCs/>
                <w:iCs/>
                <w:sz w:val="24"/>
                <w:szCs w:val="24"/>
                <w:lang w:val="en-GB"/>
              </w:rPr>
              <w:t>dir. Deepa Mehta</w:t>
            </w:r>
            <w:r w:rsidR="00076376">
              <w:rPr>
                <w:bCs/>
                <w:iCs/>
                <w:sz w:val="24"/>
                <w:szCs w:val="24"/>
                <w:lang w:val="en-GB"/>
              </w:rPr>
              <w:t>, 2012</w:t>
            </w:r>
            <w:r>
              <w:rPr>
                <w:bCs/>
                <w:iCs/>
                <w:sz w:val="24"/>
                <w:szCs w:val="24"/>
                <w:lang w:val="en-GB"/>
              </w:rPr>
              <w:t>), based on Salman Rushdie’s novel (1981)</w:t>
            </w:r>
          </w:p>
          <w:p w:rsidR="00B61B66" w:rsidRPr="00B61B66" w:rsidRDefault="00B61B66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/>
                <w:iCs/>
                <w:sz w:val="24"/>
                <w:szCs w:val="24"/>
                <w:lang w:val="en-GB"/>
              </w:rPr>
              <w:t xml:space="preserve">Brick Lane </w:t>
            </w:r>
            <w:r>
              <w:rPr>
                <w:bCs/>
                <w:iCs/>
                <w:sz w:val="24"/>
                <w:szCs w:val="24"/>
                <w:lang w:val="en-GB"/>
              </w:rPr>
              <w:t xml:space="preserve">(dir. Sarah </w:t>
            </w:r>
            <w:proofErr w:type="spellStart"/>
            <w:r>
              <w:rPr>
                <w:bCs/>
                <w:iCs/>
                <w:sz w:val="24"/>
                <w:szCs w:val="24"/>
                <w:lang w:val="en-GB"/>
              </w:rPr>
              <w:t>Gavron</w:t>
            </w:r>
            <w:proofErr w:type="spellEnd"/>
            <w:r>
              <w:rPr>
                <w:bCs/>
                <w:iCs/>
                <w:sz w:val="24"/>
                <w:szCs w:val="24"/>
                <w:lang w:val="en-GB"/>
              </w:rPr>
              <w:t>, 2007), based on Monica Ali’s novel (2004)</w:t>
            </w:r>
          </w:p>
          <w:p w:rsidR="003D05CB" w:rsidRPr="003D05CB" w:rsidRDefault="003D05CB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3D05CB" w:rsidRPr="003D05CB" w:rsidRDefault="003D05CB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  <w:r w:rsidRPr="003D05CB">
              <w:rPr>
                <w:b/>
                <w:bCs/>
                <w:iCs/>
                <w:sz w:val="24"/>
                <w:szCs w:val="24"/>
                <w:lang w:val="en-GB"/>
              </w:rPr>
              <w:t xml:space="preserve">Recommended readings: </w:t>
            </w:r>
          </w:p>
          <w:p w:rsidR="003D05CB" w:rsidRPr="003D05CB" w:rsidRDefault="003D05CB" w:rsidP="003D05CB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  <w:p w:rsidR="00076376" w:rsidRPr="009B3DF2" w:rsidRDefault="009B3DF2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Ashcroft, Bill, Helen Tiffin and Garth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GB"/>
              </w:rPr>
              <w:t>Griffits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The Empire Writes Back.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London: Routledge, 2002.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Bhabha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Homi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The Location of Culture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London: Routledge, 1994.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Boehmer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Elleke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Colonial and Postcolonial Literature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Oxford: Oxford UP, 2005. </w:t>
            </w:r>
          </w:p>
          <w:p w:rsid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Brickell, Katherine and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Ayona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Datta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Translocal</w:t>
            </w:r>
            <w:proofErr w:type="spellEnd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 Geographies: Spaces, Places, Connections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Farnham,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Ashgate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, 2011.</w:t>
            </w:r>
          </w:p>
          <w:p w:rsidR="00243F79" w:rsidRPr="00243F79" w:rsidRDefault="00243F79" w:rsidP="00243F79">
            <w:pPr>
              <w:ind w:left="709" w:hanging="709"/>
              <w:rPr>
                <w:sz w:val="24"/>
                <w:szCs w:val="24"/>
                <w:lang w:val="en-GB"/>
              </w:rPr>
            </w:pPr>
            <w:r w:rsidRPr="00383AD9">
              <w:rPr>
                <w:sz w:val="24"/>
                <w:szCs w:val="24"/>
                <w:lang w:val="en-GB"/>
              </w:rPr>
              <w:t xml:space="preserve">Childs, Peter and Patrick Williams, </w:t>
            </w:r>
            <w:r w:rsidRPr="00383AD9">
              <w:rPr>
                <w:i/>
                <w:sz w:val="24"/>
                <w:szCs w:val="24"/>
                <w:lang w:val="en-GB"/>
              </w:rPr>
              <w:t>An Introduction to Post-Colonial Theory</w:t>
            </w:r>
            <w:r w:rsidRPr="00383AD9">
              <w:rPr>
                <w:sz w:val="24"/>
                <w:szCs w:val="24"/>
                <w:lang w:val="en-GB"/>
              </w:rPr>
              <w:t xml:space="preserve">. Harlow: Longman, 1997.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Gregg, Melissa and Gregory J.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Seigworth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, ed.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The Affect Theory Reader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Durham: Duke UP, 2010.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Hirsch, Marianne – Nancy Miller (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ed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).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Rites of Return: Diaspora Poetics and the Politics of Memory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New York: Columbia UP, 2011.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Jacobs, Jane M.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Edge of Empire: </w:t>
            </w:r>
            <w:proofErr w:type="spellStart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Postcolonialism</w:t>
            </w:r>
            <w:proofErr w:type="spellEnd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 and the City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London: Routledge, 1996. </w:t>
            </w:r>
          </w:p>
          <w:p w:rsid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Kaplan, Karen.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Questions of Travel: Postmodern Discourses of Displacement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. Durham: Duke UP, 1996. </w:t>
            </w:r>
          </w:p>
          <w:p w:rsidR="00076376" w:rsidRDefault="00076376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McLeod, John.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Beginning </w:t>
            </w:r>
            <w:proofErr w:type="spellStart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Postcolonialism</w:t>
            </w:r>
            <w:proofErr w:type="spellEnd"/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. 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Manchester: </w:t>
            </w: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Mancester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 UP, 2000.</w:t>
            </w:r>
          </w:p>
          <w:p w:rsidR="00076376" w:rsidRPr="009B3DF2" w:rsidRDefault="00076376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Said, Edward</w:t>
            </w:r>
            <w:r w:rsidR="009B3DF2">
              <w:rPr>
                <w:rFonts w:ascii="Cambria" w:hAnsi="Cambria"/>
                <w:sz w:val="24"/>
                <w:szCs w:val="24"/>
                <w:lang w:val="en-GB"/>
              </w:rPr>
              <w:t xml:space="preserve">. </w:t>
            </w:r>
            <w:r w:rsidR="009B3DF2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Orientalism. </w:t>
            </w:r>
            <w:r w:rsidR="0035582E">
              <w:rPr>
                <w:rFonts w:ascii="Cambria" w:hAnsi="Cambria"/>
                <w:sz w:val="24"/>
                <w:szCs w:val="24"/>
                <w:lang w:val="en-GB"/>
              </w:rPr>
              <w:t xml:space="preserve">London: Penguin, 2003.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>Vermeulen</w:t>
            </w:r>
            <w:proofErr w:type="spellEnd"/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, Pieter. </w:t>
            </w:r>
            <w:r w:rsidRPr="003D05CB">
              <w:rPr>
                <w:rFonts w:ascii="Cambria" w:hAnsi="Cambria"/>
                <w:i/>
                <w:sz w:val="24"/>
                <w:szCs w:val="24"/>
                <w:lang w:val="en-GB"/>
              </w:rPr>
              <w:t>Contemporary Literature and the End of the Novel: Creature, Affect, Form.</w:t>
            </w:r>
            <w:r w:rsidRPr="003D05CB">
              <w:rPr>
                <w:rFonts w:ascii="Cambria" w:hAnsi="Cambria"/>
                <w:sz w:val="24"/>
                <w:szCs w:val="24"/>
                <w:lang w:val="en-GB"/>
              </w:rPr>
              <w:t xml:space="preserve"> Basingstoke: Palgrave Macmillan, 2015. </w:t>
            </w:r>
          </w:p>
          <w:p w:rsidR="003D05CB" w:rsidRPr="003D05CB" w:rsidRDefault="003D05CB" w:rsidP="003D05CB">
            <w:pPr>
              <w:ind w:left="709" w:hanging="709"/>
              <w:rPr>
                <w:rFonts w:ascii="Cambria" w:hAnsi="Cambria"/>
                <w:sz w:val="24"/>
                <w:szCs w:val="24"/>
                <w:lang w:val="en-GB"/>
              </w:rPr>
            </w:pPr>
          </w:p>
          <w:p w:rsidR="003D05CB" w:rsidRPr="003D05CB" w:rsidRDefault="003D05CB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4D5ED7" w:rsidRPr="003D05CB" w:rsidRDefault="004D5ED7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4D5ED7" w:rsidRPr="003D05CB" w:rsidRDefault="004D5ED7" w:rsidP="00810B34">
            <w:pPr>
              <w:rPr>
                <w:b/>
                <w:sz w:val="24"/>
                <w:lang w:val="en-GB"/>
              </w:rPr>
            </w:pPr>
          </w:p>
        </w:tc>
      </w:tr>
    </w:tbl>
    <w:p w:rsidR="008D105C" w:rsidRDefault="00196B76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323D9"/>
    <w:rsid w:val="00076376"/>
    <w:rsid w:val="00134FAD"/>
    <w:rsid w:val="00144DF6"/>
    <w:rsid w:val="00196B76"/>
    <w:rsid w:val="00243F79"/>
    <w:rsid w:val="002D435F"/>
    <w:rsid w:val="0035582E"/>
    <w:rsid w:val="003B34EE"/>
    <w:rsid w:val="003D05CB"/>
    <w:rsid w:val="004D5ED7"/>
    <w:rsid w:val="005048E9"/>
    <w:rsid w:val="006C2C24"/>
    <w:rsid w:val="00715516"/>
    <w:rsid w:val="009B3DF2"/>
    <w:rsid w:val="00B14FD4"/>
    <w:rsid w:val="00B61B66"/>
    <w:rsid w:val="00C075A7"/>
    <w:rsid w:val="00C944A0"/>
    <w:rsid w:val="00D2334F"/>
    <w:rsid w:val="00D93C70"/>
    <w:rsid w:val="00E565C6"/>
    <w:rsid w:val="00EC13A4"/>
    <w:rsid w:val="00F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2018-10-31T07:07:00Z</dcterms:created>
  <dcterms:modified xsi:type="dcterms:W3CDTF">2018-10-31T07:07:00Z</dcterms:modified>
</cp:coreProperties>
</file>