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F17B78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D8A" w:rsidRPr="00F17B78" w:rsidRDefault="004D5ED7" w:rsidP="00F17B7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17B78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F17B78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F17B78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F17B78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F17B78">
              <w:rPr>
                <w:bCs/>
                <w:sz w:val="24"/>
                <w:szCs w:val="24"/>
              </w:rPr>
              <w:t>:</w:t>
            </w:r>
            <w:r w:rsidR="00711D8A" w:rsidRPr="00F17B7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7AF9">
              <w:rPr>
                <w:bCs/>
                <w:sz w:val="24"/>
                <w:szCs w:val="24"/>
              </w:rPr>
              <w:t>Readings</w:t>
            </w:r>
            <w:proofErr w:type="spellEnd"/>
            <w:r w:rsidR="00257A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7AF9">
              <w:rPr>
                <w:bCs/>
                <w:sz w:val="24"/>
                <w:szCs w:val="24"/>
              </w:rPr>
              <w:t>in</w:t>
            </w:r>
            <w:proofErr w:type="spellEnd"/>
            <w:r w:rsidR="00257A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7AF9">
              <w:rPr>
                <w:bCs/>
                <w:sz w:val="24"/>
                <w:szCs w:val="24"/>
              </w:rPr>
              <w:t>Intellectual</w:t>
            </w:r>
            <w:proofErr w:type="spellEnd"/>
            <w:r w:rsidR="00257A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7AF9">
              <w:rPr>
                <w:bCs/>
                <w:sz w:val="24"/>
                <w:szCs w:val="24"/>
              </w:rPr>
              <w:t>History</w:t>
            </w:r>
            <w:proofErr w:type="spellEnd"/>
            <w:r w:rsidR="00257AF9">
              <w:rPr>
                <w:bCs/>
                <w:sz w:val="24"/>
                <w:szCs w:val="24"/>
              </w:rPr>
              <w:t xml:space="preserve"> (</w:t>
            </w:r>
            <w:r w:rsidR="00F17B78" w:rsidRPr="00F17B78">
              <w:rPr>
                <w:bCs/>
                <w:sz w:val="24"/>
                <w:szCs w:val="24"/>
              </w:rPr>
              <w:t xml:space="preserve">The </w:t>
            </w:r>
            <w:proofErr w:type="spellStart"/>
            <w:r w:rsidR="00F17B78" w:rsidRPr="00F17B78">
              <w:rPr>
                <w:bCs/>
                <w:sz w:val="24"/>
                <w:szCs w:val="24"/>
              </w:rPr>
              <w:t>Humanities</w:t>
            </w:r>
            <w:proofErr w:type="spellEnd"/>
            <w:r w:rsidR="00F17B78" w:rsidRPr="00F17B7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17B78" w:rsidRPr="00F17B78">
              <w:rPr>
                <w:bCs/>
                <w:sz w:val="24"/>
                <w:szCs w:val="24"/>
              </w:rPr>
              <w:t>in</w:t>
            </w:r>
            <w:proofErr w:type="spellEnd"/>
            <w:r w:rsidR="00F17B78" w:rsidRPr="00F17B78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="00F17B78" w:rsidRPr="00F17B78">
              <w:rPr>
                <w:bCs/>
                <w:sz w:val="24"/>
                <w:szCs w:val="24"/>
              </w:rPr>
              <w:t>Globalized</w:t>
            </w:r>
            <w:proofErr w:type="spellEnd"/>
            <w:r w:rsidR="00F17B78" w:rsidRPr="00F17B7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17B78" w:rsidRPr="00F17B78">
              <w:rPr>
                <w:bCs/>
                <w:sz w:val="24"/>
                <w:szCs w:val="24"/>
              </w:rPr>
              <w:t>Era</w:t>
            </w:r>
            <w:proofErr w:type="spellEnd"/>
            <w:r w:rsidR="00257AF9">
              <w:rPr>
                <w:bCs/>
                <w:sz w:val="24"/>
                <w:szCs w:val="24"/>
              </w:rPr>
              <w:t>)</w:t>
            </w:r>
          </w:p>
          <w:p w:rsidR="004D5ED7" w:rsidRPr="00257AF9" w:rsidRDefault="00257AF9" w:rsidP="003E325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57AF9">
              <w:rPr>
                <w:sz w:val="22"/>
                <w:szCs w:val="22"/>
              </w:rPr>
              <w:t>ERPB-MAD 4331</w:t>
            </w:r>
            <w:bookmarkStart w:id="0" w:name="_GoBack"/>
            <w:bookmarkEnd w:id="0"/>
          </w:p>
        </w:tc>
      </w:tr>
      <w:tr w:rsidR="004D5ED7" w:rsidRPr="00F17B78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17B78" w:rsidRDefault="004D5ED7" w:rsidP="00F17B78">
            <w:pPr>
              <w:keepNext/>
              <w:spacing w:before="60" w:after="60"/>
              <w:ind w:left="1701" w:hanging="1701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F17B78">
              <w:rPr>
                <w:bCs/>
                <w:i/>
                <w:sz w:val="24"/>
                <w:szCs w:val="24"/>
              </w:rPr>
              <w:t>Instructor</w:t>
            </w:r>
            <w:proofErr w:type="spellEnd"/>
            <w:r w:rsidRPr="00F17B78">
              <w:rPr>
                <w:bCs/>
                <w:i/>
                <w:sz w:val="24"/>
                <w:szCs w:val="24"/>
              </w:rPr>
              <w:t xml:space="preserve">’s </w:t>
            </w:r>
            <w:proofErr w:type="spellStart"/>
            <w:r w:rsidRPr="00F17B78">
              <w:rPr>
                <w:bCs/>
                <w:i/>
                <w:sz w:val="24"/>
                <w:szCs w:val="24"/>
              </w:rPr>
              <w:t>Name</w:t>
            </w:r>
            <w:proofErr w:type="spellEnd"/>
            <w:r w:rsidRPr="00F17B78">
              <w:rPr>
                <w:bCs/>
                <w:sz w:val="24"/>
                <w:szCs w:val="24"/>
              </w:rPr>
              <w:t xml:space="preserve">: </w:t>
            </w:r>
            <w:r w:rsidR="00013B2A" w:rsidRPr="00F17B78">
              <w:rPr>
                <w:bCs/>
                <w:sz w:val="24"/>
                <w:szCs w:val="24"/>
              </w:rPr>
              <w:t>dr. Mi</w:t>
            </w:r>
            <w:r w:rsidR="00257AF9">
              <w:rPr>
                <w:bCs/>
                <w:sz w:val="24"/>
                <w:szCs w:val="24"/>
              </w:rPr>
              <w:t xml:space="preserve">mi </w:t>
            </w:r>
            <w:proofErr w:type="spellStart"/>
            <w:r w:rsidR="00257AF9">
              <w:rPr>
                <w:bCs/>
                <w:sz w:val="24"/>
                <w:szCs w:val="24"/>
              </w:rPr>
              <w:t>Fe</w:t>
            </w:r>
            <w:r w:rsidR="00F17B78" w:rsidRPr="00F17B78">
              <w:rPr>
                <w:bCs/>
                <w:sz w:val="24"/>
                <w:szCs w:val="24"/>
              </w:rPr>
              <w:t>nton</w:t>
            </w:r>
            <w:proofErr w:type="spellEnd"/>
          </w:p>
        </w:tc>
      </w:tr>
      <w:tr w:rsidR="004D5ED7" w:rsidRPr="00F17B78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17B78" w:rsidRDefault="004D5ED7" w:rsidP="00F17B78">
            <w:pPr>
              <w:keepNext/>
              <w:spacing w:before="240" w:after="240"/>
              <w:jc w:val="both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F17B78">
              <w:rPr>
                <w:bCs/>
                <w:i/>
                <w:sz w:val="24"/>
                <w:szCs w:val="24"/>
              </w:rPr>
              <w:t>Instructor</w:t>
            </w:r>
            <w:proofErr w:type="spellEnd"/>
            <w:r w:rsidRPr="00F17B78">
              <w:rPr>
                <w:bCs/>
                <w:i/>
                <w:sz w:val="24"/>
                <w:szCs w:val="24"/>
              </w:rPr>
              <w:t xml:space="preserve">’s Email </w:t>
            </w:r>
            <w:proofErr w:type="spellStart"/>
            <w:r w:rsidRPr="00F17B78">
              <w:rPr>
                <w:bCs/>
                <w:i/>
                <w:sz w:val="24"/>
                <w:szCs w:val="24"/>
              </w:rPr>
              <w:t>Address</w:t>
            </w:r>
            <w:proofErr w:type="spellEnd"/>
            <w:r w:rsidRPr="00F17B78">
              <w:rPr>
                <w:bCs/>
                <w:sz w:val="24"/>
                <w:szCs w:val="24"/>
              </w:rPr>
              <w:t xml:space="preserve">: </w:t>
            </w:r>
            <w:hyperlink r:id="rId5" w:history="1">
              <w:r w:rsidR="00F17B78" w:rsidRPr="00F17B78">
                <w:rPr>
                  <w:rStyle w:val="Hiperhivatkozs"/>
                  <w:sz w:val="24"/>
                  <w:szCs w:val="24"/>
                </w:rPr>
                <w:t>mfenton@email.wcu.edu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F17B78" w:rsidTr="004D5ED7">
              <w:tc>
                <w:tcPr>
                  <w:tcW w:w="2154" w:type="dxa"/>
                  <w:shd w:val="clear" w:color="auto" w:fill="auto"/>
                </w:tcPr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F17B78">
                    <w:rPr>
                      <w:bCs/>
                      <w:sz w:val="24"/>
                      <w:szCs w:val="24"/>
                    </w:rPr>
                    <w:t xml:space="preserve">Credit </w:t>
                  </w:r>
                  <w:proofErr w:type="spellStart"/>
                  <w:r w:rsidRPr="00F17B78">
                    <w:rPr>
                      <w:bCs/>
                      <w:sz w:val="24"/>
                      <w:szCs w:val="24"/>
                    </w:rPr>
                    <w:t>Point</w:t>
                  </w:r>
                  <w:proofErr w:type="spellEnd"/>
                  <w:r w:rsidRPr="00F17B7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7B78">
                    <w:rPr>
                      <w:bCs/>
                      <w:sz w:val="24"/>
                      <w:szCs w:val="24"/>
                    </w:rPr>
                    <w:t>Value</w:t>
                  </w:r>
                  <w:proofErr w:type="spellEnd"/>
                  <w:r w:rsidRPr="00F17B78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F17B78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F17B78">
                    <w:rPr>
                      <w:bCs/>
                      <w:sz w:val="24"/>
                      <w:szCs w:val="24"/>
                    </w:rPr>
                    <w:t>Number</w:t>
                  </w:r>
                  <w:proofErr w:type="spellEnd"/>
                  <w:r w:rsidRPr="00F17B78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17B78">
                    <w:rPr>
                      <w:bCs/>
                      <w:sz w:val="24"/>
                      <w:szCs w:val="24"/>
                    </w:rPr>
                    <w:t>Lessons</w:t>
                  </w:r>
                  <w:proofErr w:type="spellEnd"/>
                  <w:r w:rsidRPr="00F17B78">
                    <w:rPr>
                      <w:bCs/>
                      <w:sz w:val="24"/>
                      <w:szCs w:val="24"/>
                    </w:rPr>
                    <w:t xml:space="preserve"> per </w:t>
                  </w:r>
                  <w:proofErr w:type="spellStart"/>
                  <w:r w:rsidRPr="00F17B78">
                    <w:rPr>
                      <w:bCs/>
                      <w:sz w:val="24"/>
                      <w:szCs w:val="24"/>
                    </w:rPr>
                    <w:t>Week</w:t>
                  </w:r>
                  <w:proofErr w:type="spellEnd"/>
                  <w:proofErr w:type="gramStart"/>
                  <w:r w:rsidRPr="00F17B78">
                    <w:rPr>
                      <w:bCs/>
                      <w:sz w:val="24"/>
                      <w:szCs w:val="24"/>
                    </w:rPr>
                    <w:t xml:space="preserve">:       </w:t>
                  </w:r>
                  <w:r w:rsidRPr="00F17B78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F17B78">
                    <w:rPr>
                      <w:bCs/>
                      <w:sz w:val="24"/>
                      <w:szCs w:val="24"/>
                    </w:rPr>
                    <w:t>Type</w:t>
                  </w:r>
                  <w:proofErr w:type="spellEnd"/>
                  <w:r w:rsidRPr="00F17B78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17B78">
                    <w:rPr>
                      <w:bCs/>
                      <w:sz w:val="24"/>
                      <w:szCs w:val="24"/>
                    </w:rPr>
                    <w:t>Course</w:t>
                  </w:r>
                  <w:proofErr w:type="spellEnd"/>
                  <w:r w:rsidRPr="00F17B78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17B78">
                    <w:rPr>
                      <w:b/>
                      <w:bCs/>
                      <w:sz w:val="24"/>
                      <w:szCs w:val="24"/>
                    </w:rPr>
                    <w:t>Seminar</w:t>
                  </w:r>
                  <w:proofErr w:type="spellEnd"/>
                  <w:r w:rsidRPr="00F17B78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FF3" w:rsidRPr="00F17B7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17B78">
                    <w:rPr>
                      <w:b/>
                      <w:bCs/>
                      <w:sz w:val="24"/>
                      <w:szCs w:val="24"/>
                    </w:rPr>
                    <w:t>Lecture</w:t>
                  </w:r>
                  <w:proofErr w:type="spellEnd"/>
                  <w:r w:rsidRPr="00F17B7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FF3" w:rsidRPr="00F17B7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F17B78">
                    <w:rPr>
                      <w:bCs/>
                      <w:sz w:val="24"/>
                      <w:szCs w:val="24"/>
                    </w:rPr>
                    <w:t>Method</w:t>
                  </w:r>
                  <w:proofErr w:type="spellEnd"/>
                  <w:r w:rsidRPr="00F17B78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17B78">
                    <w:rPr>
                      <w:bCs/>
                      <w:sz w:val="24"/>
                      <w:szCs w:val="24"/>
                    </w:rPr>
                    <w:t>Evaluation</w:t>
                  </w:r>
                  <w:proofErr w:type="spellEnd"/>
                  <w:r w:rsidRPr="00F17B78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17B78">
                    <w:rPr>
                      <w:b/>
                      <w:bCs/>
                      <w:sz w:val="24"/>
                      <w:szCs w:val="24"/>
                    </w:rPr>
                    <w:t>Oral</w:t>
                  </w:r>
                  <w:proofErr w:type="spellEnd"/>
                  <w:r w:rsidRPr="00F17B7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7B78">
                    <w:rPr>
                      <w:b/>
                      <w:bCs/>
                      <w:sz w:val="24"/>
                      <w:szCs w:val="24"/>
                    </w:rPr>
                    <w:t>Examination</w:t>
                  </w:r>
                  <w:proofErr w:type="spellEnd"/>
                  <w:r w:rsidRPr="00F17B7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FF3" w:rsidRPr="00F17B7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17B78">
                    <w:rPr>
                      <w:b/>
                      <w:bCs/>
                      <w:sz w:val="24"/>
                      <w:szCs w:val="24"/>
                    </w:rPr>
                    <w:t>In-Class</w:t>
                  </w:r>
                  <w:proofErr w:type="spellEnd"/>
                  <w:r w:rsidRPr="00F17B7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7B78">
                    <w:rPr>
                      <w:b/>
                      <w:bCs/>
                      <w:sz w:val="24"/>
                      <w:szCs w:val="24"/>
                    </w:rPr>
                    <w:t>Presentation</w:t>
                  </w:r>
                  <w:proofErr w:type="spellEnd"/>
                  <w:r w:rsidRPr="00F17B7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FF3" w:rsidRPr="00F17B7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:rsidR="004D5ED7" w:rsidRPr="00F17B78" w:rsidRDefault="004D5ED7" w:rsidP="00F17B78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17B78"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  <w:proofErr w:type="spellEnd"/>
                  <w:r w:rsidRPr="00F17B7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FF3" w:rsidRPr="00F17B7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Pr="00F17B78" w:rsidRDefault="004D5ED7" w:rsidP="00F17B78">
            <w:pPr>
              <w:keepNext/>
              <w:spacing w:before="60" w:after="6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4D5ED7" w:rsidRPr="00F17B78" w:rsidTr="004D5ED7">
        <w:trPr>
          <w:cantSplit/>
          <w:trHeight w:val="2116"/>
        </w:trPr>
        <w:tc>
          <w:tcPr>
            <w:tcW w:w="9497" w:type="dxa"/>
          </w:tcPr>
          <w:p w:rsidR="00F17B78" w:rsidRPr="00F17B78" w:rsidRDefault="00F17B78" w:rsidP="00F17B78">
            <w:pPr>
              <w:jc w:val="both"/>
              <w:rPr>
                <w:sz w:val="24"/>
                <w:szCs w:val="24"/>
              </w:rPr>
            </w:pPr>
            <w:proofErr w:type="spellStart"/>
            <w:r w:rsidRPr="00F17B78">
              <w:rPr>
                <w:sz w:val="24"/>
                <w:szCs w:val="24"/>
              </w:rPr>
              <w:t>This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course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aims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to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provide</w:t>
            </w:r>
            <w:proofErr w:type="spellEnd"/>
            <w:r w:rsidRPr="00F17B78">
              <w:rPr>
                <w:sz w:val="24"/>
                <w:szCs w:val="24"/>
              </w:rPr>
              <w:t xml:space="preserve"> a </w:t>
            </w:r>
            <w:proofErr w:type="spellStart"/>
            <w:r w:rsidRPr="00F17B78">
              <w:rPr>
                <w:sz w:val="24"/>
                <w:szCs w:val="24"/>
              </w:rPr>
              <w:t>multidisciplinary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inquiry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about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role</w:t>
            </w:r>
            <w:proofErr w:type="spellEnd"/>
            <w:r w:rsidRPr="00F17B78">
              <w:rPr>
                <w:sz w:val="24"/>
                <w:szCs w:val="24"/>
              </w:rPr>
              <w:t xml:space="preserve"> of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humanities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our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contemporary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globalized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globalizing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world</w:t>
            </w:r>
            <w:proofErr w:type="spellEnd"/>
            <w:r w:rsidRPr="00F17B78">
              <w:rPr>
                <w:sz w:val="24"/>
                <w:szCs w:val="24"/>
              </w:rPr>
              <w:t xml:space="preserve">. </w:t>
            </w:r>
            <w:proofErr w:type="spellStart"/>
            <w:r w:rsidRPr="00F17B78">
              <w:rPr>
                <w:sz w:val="24"/>
                <w:szCs w:val="24"/>
              </w:rPr>
              <w:t>We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will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consider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key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ideas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texts</w:t>
            </w:r>
            <w:proofErr w:type="spellEnd"/>
            <w:r w:rsidRPr="00F17B78">
              <w:rPr>
                <w:sz w:val="24"/>
                <w:szCs w:val="24"/>
              </w:rPr>
              <w:t xml:space="preserve">, and </w:t>
            </w:r>
            <w:proofErr w:type="spellStart"/>
            <w:r w:rsidRPr="00F17B78">
              <w:rPr>
                <w:sz w:val="24"/>
                <w:szCs w:val="24"/>
              </w:rPr>
              <w:t>questions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salient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both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higher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education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in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Hungarian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community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by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examining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both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globalization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humanities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historical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dynamic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movements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areas</w:t>
            </w:r>
            <w:proofErr w:type="spellEnd"/>
            <w:r w:rsidRPr="00F17B78">
              <w:rPr>
                <w:sz w:val="24"/>
                <w:szCs w:val="24"/>
              </w:rPr>
              <w:t xml:space="preserve"> of </w:t>
            </w:r>
            <w:proofErr w:type="spellStart"/>
            <w:r w:rsidRPr="00F17B78">
              <w:rPr>
                <w:sz w:val="24"/>
                <w:szCs w:val="24"/>
              </w:rPr>
              <w:t>study</w:t>
            </w:r>
            <w:proofErr w:type="spellEnd"/>
            <w:r w:rsidRPr="00F17B78">
              <w:rPr>
                <w:sz w:val="24"/>
                <w:szCs w:val="24"/>
              </w:rPr>
              <w:t xml:space="preserve">, and </w:t>
            </w:r>
            <w:proofErr w:type="spellStart"/>
            <w:r w:rsidRPr="00F17B78">
              <w:rPr>
                <w:sz w:val="24"/>
                <w:szCs w:val="24"/>
              </w:rPr>
              <w:t>real-life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experiences</w:t>
            </w:r>
            <w:proofErr w:type="spellEnd"/>
            <w:r w:rsidRPr="00F17B78">
              <w:rPr>
                <w:sz w:val="24"/>
                <w:szCs w:val="24"/>
              </w:rPr>
              <w:t xml:space="preserve">. </w:t>
            </w:r>
          </w:p>
          <w:p w:rsidR="00257AF9" w:rsidRDefault="00257AF9" w:rsidP="00F17B78">
            <w:pPr>
              <w:jc w:val="both"/>
              <w:rPr>
                <w:sz w:val="24"/>
                <w:szCs w:val="24"/>
              </w:rPr>
            </w:pPr>
          </w:p>
          <w:p w:rsidR="00F17B78" w:rsidRPr="00F17B78" w:rsidRDefault="00F17B78" w:rsidP="00F17B78">
            <w:pPr>
              <w:jc w:val="both"/>
              <w:rPr>
                <w:sz w:val="24"/>
                <w:szCs w:val="24"/>
              </w:rPr>
            </w:pPr>
            <w:proofErr w:type="spellStart"/>
            <w:r w:rsidRPr="00F17B78">
              <w:rPr>
                <w:sz w:val="24"/>
                <w:szCs w:val="24"/>
              </w:rPr>
              <w:t>This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course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will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bring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together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diverse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voices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views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to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address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essential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questions</w:t>
            </w:r>
            <w:proofErr w:type="spellEnd"/>
            <w:r w:rsidRPr="00F17B78">
              <w:rPr>
                <w:sz w:val="24"/>
                <w:szCs w:val="24"/>
              </w:rPr>
              <w:t xml:space="preserve"> of </w:t>
            </w:r>
            <w:proofErr w:type="spellStart"/>
            <w:r w:rsidRPr="00F17B78">
              <w:rPr>
                <w:sz w:val="24"/>
                <w:szCs w:val="24"/>
              </w:rPr>
              <w:t>what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means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to</w:t>
            </w:r>
            <w:proofErr w:type="spellEnd"/>
            <w:r w:rsidRPr="00F17B78">
              <w:rPr>
                <w:sz w:val="24"/>
                <w:szCs w:val="24"/>
              </w:rPr>
              <w:t xml:space="preserve"> be a human being. </w:t>
            </w:r>
            <w:proofErr w:type="spellStart"/>
            <w:r w:rsidRPr="00F17B78">
              <w:rPr>
                <w:sz w:val="24"/>
                <w:szCs w:val="24"/>
              </w:rPr>
              <w:t>We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will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approach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globalization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from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perspectives</w:t>
            </w:r>
            <w:proofErr w:type="spellEnd"/>
            <w:r w:rsidRPr="00F17B78">
              <w:rPr>
                <w:sz w:val="24"/>
                <w:szCs w:val="24"/>
              </w:rPr>
              <w:t xml:space="preserve"> of </w:t>
            </w:r>
            <w:proofErr w:type="spellStart"/>
            <w:r w:rsidRPr="00F17B78">
              <w:rPr>
                <w:sz w:val="24"/>
                <w:szCs w:val="24"/>
              </w:rPr>
              <w:t>humanist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inquiry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multiple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arenas</w:t>
            </w:r>
            <w:proofErr w:type="spellEnd"/>
            <w:r w:rsidRPr="00F17B78">
              <w:rPr>
                <w:sz w:val="24"/>
                <w:szCs w:val="24"/>
              </w:rPr>
              <w:t xml:space="preserve">: </w:t>
            </w:r>
            <w:proofErr w:type="spellStart"/>
            <w:r w:rsidRPr="00F17B78">
              <w:rPr>
                <w:sz w:val="24"/>
                <w:szCs w:val="24"/>
              </w:rPr>
              <w:t>literary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cultural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socio-political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economic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environmental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religious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technological</w:t>
            </w:r>
            <w:proofErr w:type="spellEnd"/>
            <w:r w:rsidRPr="00F17B78">
              <w:rPr>
                <w:sz w:val="24"/>
                <w:szCs w:val="24"/>
              </w:rPr>
              <w:t xml:space="preserve">, and </w:t>
            </w:r>
            <w:proofErr w:type="spellStart"/>
            <w:r w:rsidRPr="00F17B78">
              <w:rPr>
                <w:sz w:val="24"/>
                <w:szCs w:val="24"/>
              </w:rPr>
              <w:t>experiential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to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focus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on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such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questions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as</w:t>
            </w:r>
            <w:proofErr w:type="spellEnd"/>
            <w:r w:rsidRPr="00F17B78">
              <w:rPr>
                <w:sz w:val="24"/>
                <w:szCs w:val="24"/>
              </w:rPr>
              <w:t xml:space="preserve">: </w:t>
            </w:r>
            <w:proofErr w:type="spellStart"/>
            <w:r w:rsidRPr="00F17B78">
              <w:rPr>
                <w:sz w:val="24"/>
                <w:szCs w:val="24"/>
              </w:rPr>
              <w:t>How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can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humanities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study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influence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our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sensibilities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about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change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uncertainty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increasingly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amplified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</w:t>
            </w:r>
            <w:proofErr w:type="spellEnd"/>
            <w:r w:rsidRPr="00F17B78">
              <w:rPr>
                <w:sz w:val="24"/>
                <w:szCs w:val="24"/>
              </w:rPr>
              <w:t xml:space="preserve"> a </w:t>
            </w:r>
            <w:proofErr w:type="spellStart"/>
            <w:r w:rsidRPr="00F17B78">
              <w:rPr>
                <w:sz w:val="24"/>
                <w:szCs w:val="24"/>
              </w:rPr>
              <w:t>global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era</w:t>
            </w:r>
            <w:proofErr w:type="spellEnd"/>
            <w:r w:rsidRPr="00F17B78">
              <w:rPr>
                <w:sz w:val="24"/>
                <w:szCs w:val="24"/>
              </w:rPr>
              <w:t xml:space="preserve">? </w:t>
            </w:r>
            <w:proofErr w:type="spellStart"/>
            <w:r w:rsidRPr="00F17B78">
              <w:rPr>
                <w:sz w:val="24"/>
                <w:szCs w:val="24"/>
              </w:rPr>
              <w:t>How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does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humanistic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thinking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influence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our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sense</w:t>
            </w:r>
            <w:proofErr w:type="spellEnd"/>
            <w:r w:rsidRPr="00F17B78">
              <w:rPr>
                <w:sz w:val="24"/>
                <w:szCs w:val="24"/>
              </w:rPr>
              <w:t xml:space="preserve"> of </w:t>
            </w:r>
            <w:proofErr w:type="spellStart"/>
            <w:r w:rsidRPr="00F17B78">
              <w:rPr>
                <w:sz w:val="24"/>
                <w:szCs w:val="24"/>
              </w:rPr>
              <w:t>individual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cultural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identity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</w:t>
            </w:r>
            <w:proofErr w:type="spellEnd"/>
            <w:r w:rsidRPr="00F17B78">
              <w:rPr>
                <w:sz w:val="24"/>
                <w:szCs w:val="24"/>
              </w:rPr>
              <w:t xml:space="preserve"> a </w:t>
            </w:r>
            <w:proofErr w:type="spellStart"/>
            <w:r w:rsidRPr="00F17B78">
              <w:rPr>
                <w:sz w:val="24"/>
                <w:szCs w:val="24"/>
              </w:rPr>
              <w:t>global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community</w:t>
            </w:r>
            <w:proofErr w:type="spellEnd"/>
            <w:r w:rsidRPr="00F17B78">
              <w:rPr>
                <w:sz w:val="24"/>
                <w:szCs w:val="24"/>
              </w:rPr>
              <w:t xml:space="preserve">? </w:t>
            </w:r>
            <w:proofErr w:type="spellStart"/>
            <w:r w:rsidRPr="00F17B78">
              <w:rPr>
                <w:sz w:val="24"/>
                <w:szCs w:val="24"/>
              </w:rPr>
              <w:t>How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can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humanities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help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us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deal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with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influx</w:t>
            </w:r>
            <w:proofErr w:type="spellEnd"/>
            <w:r w:rsidRPr="00F17B78">
              <w:rPr>
                <w:sz w:val="24"/>
                <w:szCs w:val="24"/>
              </w:rPr>
              <w:t xml:space="preserve"> of </w:t>
            </w:r>
            <w:proofErr w:type="spellStart"/>
            <w:r w:rsidRPr="00F17B78">
              <w:rPr>
                <w:sz w:val="24"/>
                <w:szCs w:val="24"/>
              </w:rPr>
              <w:t>information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promulgated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each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day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increasingly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accessible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through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technology</w:t>
            </w:r>
            <w:proofErr w:type="spellEnd"/>
            <w:r w:rsidRPr="00F17B78">
              <w:rPr>
                <w:sz w:val="24"/>
                <w:szCs w:val="24"/>
              </w:rPr>
              <w:t xml:space="preserve">? </w:t>
            </w:r>
            <w:proofErr w:type="spellStart"/>
            <w:r w:rsidRPr="00F17B78">
              <w:rPr>
                <w:sz w:val="24"/>
                <w:szCs w:val="24"/>
              </w:rPr>
              <w:t>How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do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humanities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impact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choices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might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make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about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managing</w:t>
            </w:r>
            <w:proofErr w:type="spellEnd"/>
            <w:r w:rsidRPr="00F17B78">
              <w:rPr>
                <w:sz w:val="24"/>
                <w:szCs w:val="24"/>
              </w:rPr>
              <w:t xml:space="preserve"> limited </w:t>
            </w:r>
            <w:proofErr w:type="spellStart"/>
            <w:r w:rsidRPr="00F17B78">
              <w:rPr>
                <w:sz w:val="24"/>
                <w:szCs w:val="24"/>
              </w:rPr>
              <w:t>natural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resources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that</w:t>
            </w:r>
            <w:proofErr w:type="spellEnd"/>
            <w:r w:rsidRPr="00F17B78">
              <w:rPr>
                <w:sz w:val="24"/>
                <w:szCs w:val="24"/>
              </w:rPr>
              <w:t xml:space="preserve"> must </w:t>
            </w:r>
            <w:proofErr w:type="spellStart"/>
            <w:r w:rsidRPr="00F17B78">
              <w:rPr>
                <w:sz w:val="24"/>
                <w:szCs w:val="24"/>
              </w:rPr>
              <w:t>sustain</w:t>
            </w:r>
            <w:proofErr w:type="spellEnd"/>
            <w:r w:rsidRPr="00F17B78">
              <w:rPr>
                <w:sz w:val="24"/>
                <w:szCs w:val="24"/>
              </w:rPr>
              <w:t xml:space="preserve"> a </w:t>
            </w:r>
            <w:proofErr w:type="spellStart"/>
            <w:r w:rsidRPr="00F17B78">
              <w:rPr>
                <w:sz w:val="24"/>
                <w:szCs w:val="24"/>
              </w:rPr>
              <w:t>burgeoning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world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population</w:t>
            </w:r>
            <w:proofErr w:type="spellEnd"/>
            <w:r w:rsidRPr="00F17B78">
              <w:rPr>
                <w:sz w:val="24"/>
                <w:szCs w:val="24"/>
              </w:rPr>
              <w:t xml:space="preserve">? </w:t>
            </w:r>
            <w:proofErr w:type="spellStart"/>
            <w:r w:rsidRPr="00F17B78">
              <w:rPr>
                <w:sz w:val="24"/>
                <w:szCs w:val="24"/>
              </w:rPr>
              <w:t>What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role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does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humanist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study</w:t>
            </w:r>
            <w:proofErr w:type="spellEnd"/>
            <w:r w:rsidRPr="00F17B78">
              <w:rPr>
                <w:sz w:val="24"/>
                <w:szCs w:val="24"/>
              </w:rPr>
              <w:t xml:space="preserve"> play </w:t>
            </w:r>
            <w:proofErr w:type="spellStart"/>
            <w:r w:rsidRPr="00F17B78">
              <w:rPr>
                <w:sz w:val="24"/>
                <w:szCs w:val="24"/>
              </w:rPr>
              <w:t>in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shaping</w:t>
            </w:r>
            <w:proofErr w:type="spellEnd"/>
            <w:r w:rsidRPr="00F17B78">
              <w:rPr>
                <w:sz w:val="24"/>
                <w:szCs w:val="24"/>
              </w:rPr>
              <w:t xml:space="preserve"> a </w:t>
            </w:r>
            <w:proofErr w:type="spellStart"/>
            <w:r w:rsidRPr="00F17B78">
              <w:rPr>
                <w:sz w:val="24"/>
                <w:szCs w:val="24"/>
              </w:rPr>
              <w:t>nation</w:t>
            </w:r>
            <w:proofErr w:type="spellEnd"/>
            <w:r w:rsidRPr="00F17B78">
              <w:rPr>
                <w:sz w:val="24"/>
                <w:szCs w:val="24"/>
              </w:rPr>
              <w:t xml:space="preserve">’s </w:t>
            </w:r>
            <w:proofErr w:type="spellStart"/>
            <w:r w:rsidRPr="00F17B78">
              <w:rPr>
                <w:sz w:val="24"/>
                <w:szCs w:val="24"/>
              </w:rPr>
              <w:t>citizenry</w:t>
            </w:r>
            <w:proofErr w:type="spellEnd"/>
            <w:r w:rsidRPr="00F17B78">
              <w:rPr>
                <w:sz w:val="24"/>
                <w:szCs w:val="24"/>
              </w:rPr>
              <w:t xml:space="preserve">? </w:t>
            </w:r>
            <w:proofErr w:type="spellStart"/>
            <w:r w:rsidRPr="00F17B78">
              <w:rPr>
                <w:sz w:val="24"/>
                <w:szCs w:val="24"/>
              </w:rPr>
              <w:t>How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can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humanities</w:t>
            </w:r>
            <w:proofErr w:type="spellEnd"/>
            <w:r w:rsidRPr="00F17B78">
              <w:rPr>
                <w:sz w:val="24"/>
                <w:szCs w:val="24"/>
              </w:rPr>
              <w:t xml:space="preserve"> and STEM </w:t>
            </w:r>
            <w:proofErr w:type="spellStart"/>
            <w:r w:rsidRPr="00F17B78">
              <w:rPr>
                <w:sz w:val="24"/>
                <w:szCs w:val="24"/>
              </w:rPr>
              <w:t>fields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influence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each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other</w:t>
            </w:r>
            <w:proofErr w:type="spellEnd"/>
            <w:r w:rsidRPr="00F17B78">
              <w:rPr>
                <w:sz w:val="24"/>
                <w:szCs w:val="24"/>
              </w:rPr>
              <w:t xml:space="preserve">? </w:t>
            </w:r>
            <w:proofErr w:type="spellStart"/>
            <w:r w:rsidRPr="00F17B78">
              <w:rPr>
                <w:sz w:val="24"/>
                <w:szCs w:val="24"/>
              </w:rPr>
              <w:t>How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can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humanist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scholars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better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articulate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their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intrinsic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necessity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value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inside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outside</w:t>
            </w:r>
            <w:proofErr w:type="spellEnd"/>
            <w:r w:rsidRPr="00F17B78">
              <w:rPr>
                <w:sz w:val="24"/>
                <w:szCs w:val="24"/>
              </w:rPr>
              <w:t xml:space="preserve"> of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academy</w:t>
            </w:r>
            <w:proofErr w:type="spellEnd"/>
            <w:r w:rsidRPr="00F17B78">
              <w:rPr>
                <w:sz w:val="24"/>
                <w:szCs w:val="24"/>
              </w:rPr>
              <w:t xml:space="preserve">? </w:t>
            </w:r>
            <w:proofErr w:type="spellStart"/>
            <w:r w:rsidRPr="00F17B78">
              <w:rPr>
                <w:sz w:val="24"/>
                <w:szCs w:val="24"/>
              </w:rPr>
              <w:t>How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can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study</w:t>
            </w:r>
            <w:proofErr w:type="spellEnd"/>
            <w:r w:rsidRPr="00F17B78">
              <w:rPr>
                <w:sz w:val="24"/>
                <w:szCs w:val="24"/>
              </w:rPr>
              <w:t xml:space="preserve"> of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humaniti</w:t>
            </w:r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advocate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humanity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 w:rsidRPr="00F17B78">
              <w:rPr>
                <w:sz w:val="24"/>
                <w:szCs w:val="24"/>
              </w:rPr>
              <w:t>Our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questions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approach</w:t>
            </w:r>
            <w:proofErr w:type="spellEnd"/>
            <w:r w:rsidRPr="00F17B78">
              <w:rPr>
                <w:sz w:val="24"/>
                <w:szCs w:val="24"/>
              </w:rPr>
              <w:t xml:space="preserve">, and </w:t>
            </w:r>
            <w:proofErr w:type="spellStart"/>
            <w:r w:rsidRPr="00F17B78">
              <w:rPr>
                <w:sz w:val="24"/>
                <w:szCs w:val="24"/>
              </w:rPr>
              <w:t>responses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to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questions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will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depend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upon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your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unique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perspective</w:t>
            </w:r>
            <w:proofErr w:type="spellEnd"/>
            <w:r w:rsidRPr="00F17B78">
              <w:rPr>
                <w:sz w:val="24"/>
                <w:szCs w:val="24"/>
              </w:rPr>
              <w:t xml:space="preserve"> and </w:t>
            </w:r>
            <w:proofErr w:type="spellStart"/>
            <w:r w:rsidRPr="00F17B78">
              <w:rPr>
                <w:sz w:val="24"/>
                <w:szCs w:val="24"/>
              </w:rPr>
              <w:t>identity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as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contemporary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students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to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which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will</w:t>
            </w:r>
            <w:proofErr w:type="spellEnd"/>
            <w:r w:rsidRPr="00F17B78">
              <w:rPr>
                <w:sz w:val="24"/>
                <w:szCs w:val="24"/>
              </w:rPr>
              <w:t xml:space="preserve"> be </w:t>
            </w:r>
            <w:proofErr w:type="spellStart"/>
            <w:r w:rsidRPr="00F17B78">
              <w:rPr>
                <w:sz w:val="24"/>
                <w:szCs w:val="24"/>
              </w:rPr>
              <w:t>added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the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multiple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perspectives</w:t>
            </w:r>
            <w:proofErr w:type="spellEnd"/>
            <w:r w:rsidRPr="00F17B78">
              <w:rPr>
                <w:sz w:val="24"/>
                <w:szCs w:val="24"/>
              </w:rPr>
              <w:t xml:space="preserve"> of KRE </w:t>
            </w:r>
            <w:proofErr w:type="spellStart"/>
            <w:r w:rsidRPr="00F17B78">
              <w:rPr>
                <w:sz w:val="24"/>
                <w:szCs w:val="24"/>
              </w:rPr>
              <w:t>faculty</w:t>
            </w:r>
            <w:proofErr w:type="spellEnd"/>
            <w:r w:rsidRPr="00F17B78">
              <w:rPr>
                <w:sz w:val="24"/>
                <w:szCs w:val="24"/>
              </w:rPr>
              <w:t xml:space="preserve">, </w:t>
            </w:r>
            <w:proofErr w:type="spellStart"/>
            <w:r w:rsidRPr="00F17B78">
              <w:rPr>
                <w:sz w:val="24"/>
                <w:szCs w:val="24"/>
              </w:rPr>
              <w:t>community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members</w:t>
            </w:r>
            <w:proofErr w:type="spellEnd"/>
            <w:r w:rsidRPr="00F17B78">
              <w:rPr>
                <w:sz w:val="24"/>
                <w:szCs w:val="24"/>
              </w:rPr>
              <w:t xml:space="preserve">, and </w:t>
            </w:r>
            <w:proofErr w:type="spellStart"/>
            <w:r w:rsidRPr="00F17B78">
              <w:rPr>
                <w:sz w:val="24"/>
                <w:szCs w:val="24"/>
              </w:rPr>
              <w:t>international</w:t>
            </w:r>
            <w:proofErr w:type="spellEnd"/>
            <w:r w:rsidRPr="00F17B78">
              <w:rPr>
                <w:sz w:val="24"/>
                <w:szCs w:val="24"/>
              </w:rPr>
              <w:t xml:space="preserve"> </w:t>
            </w:r>
            <w:proofErr w:type="spellStart"/>
            <w:r w:rsidRPr="00F17B78">
              <w:rPr>
                <w:sz w:val="24"/>
                <w:szCs w:val="24"/>
              </w:rPr>
              <w:t>colleagues</w:t>
            </w:r>
            <w:proofErr w:type="spellEnd"/>
            <w:r w:rsidRPr="00F17B78">
              <w:rPr>
                <w:sz w:val="24"/>
                <w:szCs w:val="24"/>
              </w:rPr>
              <w:t>.</w:t>
            </w:r>
          </w:p>
        </w:tc>
      </w:tr>
      <w:tr w:rsidR="004D5ED7" w:rsidRPr="00F17B78" w:rsidTr="00F17B78">
        <w:trPr>
          <w:cantSplit/>
          <w:trHeight w:val="991"/>
        </w:trPr>
        <w:tc>
          <w:tcPr>
            <w:tcW w:w="9497" w:type="dxa"/>
          </w:tcPr>
          <w:p w:rsidR="004D5ED7" w:rsidRPr="00F17B78" w:rsidRDefault="004D5ED7" w:rsidP="00F17B78">
            <w:pPr>
              <w:rPr>
                <w:b/>
                <w:sz w:val="24"/>
                <w:szCs w:val="24"/>
              </w:rPr>
            </w:pPr>
            <w:proofErr w:type="spellStart"/>
            <w:r w:rsidRPr="00F17B78">
              <w:rPr>
                <w:b/>
                <w:sz w:val="24"/>
                <w:szCs w:val="24"/>
              </w:rPr>
              <w:lastRenderedPageBreak/>
              <w:t>Bibliography</w:t>
            </w:r>
            <w:proofErr w:type="spellEnd"/>
            <w:r w:rsidRPr="00F17B78">
              <w:rPr>
                <w:b/>
                <w:sz w:val="24"/>
                <w:szCs w:val="24"/>
              </w:rPr>
              <w:t>:</w:t>
            </w:r>
          </w:p>
          <w:p w:rsidR="004D5ED7" w:rsidRPr="00F17B78" w:rsidRDefault="004D5ED7" w:rsidP="00F17B78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F17B78" w:rsidRDefault="00F17B78" w:rsidP="00F17B78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Bod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Rens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A New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History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Humanities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: The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Search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for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Principles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Patterns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from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Antiquity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to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</w:p>
          <w:p w:rsidR="00F17B78" w:rsidRDefault="00F17B78" w:rsidP="00F17B7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</w:rPr>
              <w:tab/>
            </w: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</w:rPr>
              <w:t>Present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>. Oxford: Oxford UP, 2014. Print.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Lechner, Frank, and John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eds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Globalization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Reader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5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Hoboken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NJ: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Wiley-Blackwell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F17B78" w:rsidRP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2014. Print.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Center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Collaborative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Online International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Learning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Institute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Global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Learning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Humanities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SUNY Global Center.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Duke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University Center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Globalization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Governance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Competitiveness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Social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Sciences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ab/>
              <w:t xml:space="preserve">Research Institute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Duke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University.</w:t>
            </w:r>
          </w:p>
          <w:p w:rsidR="00F17B78" w:rsidRDefault="00F17B78" w:rsidP="00F17B78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Goldin,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and Mike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Marianthasan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Butterfly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Defect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How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Globalization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Creates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Systemic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Risks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, and </w:t>
            </w:r>
          </w:p>
          <w:p w:rsidR="00F17B78" w:rsidRDefault="00F17B78" w:rsidP="00F17B78">
            <w:pPr>
              <w:ind w:firstLine="7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What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to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Do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About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it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Princeton, NJ: Princeton, UP, 2015. Print.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Nussbaum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Martha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Not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for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Profit: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Why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Democracy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Needs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Humanities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Princeton: Princeton </w:t>
            </w:r>
            <w:r>
              <w:rPr>
                <w:rFonts w:ascii="Garamond" w:hAnsi="Garamond"/>
                <w:sz w:val="24"/>
                <w:szCs w:val="24"/>
              </w:rPr>
              <w:tab/>
              <w:t xml:space="preserve">UP, 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2010. Print.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Pieterse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Jan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Nederveen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Globalization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Culture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: Global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é</w:t>
            </w:r>
            <w:r>
              <w:rPr>
                <w:rFonts w:ascii="Garamond" w:hAnsi="Garamond"/>
                <w:i/>
                <w:sz w:val="24"/>
                <w:szCs w:val="24"/>
              </w:rPr>
              <w:t>lange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3rd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edition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Lanham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MD: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Rowman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 xml:space="preserve">and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Littlefield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2015. Print.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Rodrick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Dani.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Globalization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Paradox</w:t>
            </w:r>
            <w:r>
              <w:rPr>
                <w:rFonts w:ascii="Garamond" w:hAnsi="Garamond"/>
                <w:sz w:val="24"/>
                <w:szCs w:val="24"/>
              </w:rPr>
              <w:t>. New York: Norton, 2012. Print.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Roth, Michael S.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Why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Liberal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Education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Matters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New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Haven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: Yale UP, 2014. Print.</w:t>
            </w:r>
          </w:p>
          <w:p w:rsidR="00F17B78" w:rsidRDefault="00F17B78" w:rsidP="00F17B7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Small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Helen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Value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Humanities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Oxford: Oxford UP, 2013. Print.</w:t>
            </w:r>
          </w:p>
          <w:p w:rsidR="00F17B78" w:rsidRDefault="00F17B78" w:rsidP="00F17B78">
            <w:pPr>
              <w:spacing w:after="120"/>
              <w:ind w:left="630" w:hanging="63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Zakaria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Fareed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Defense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of a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Liberal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Education</w:t>
            </w:r>
            <w:r>
              <w:rPr>
                <w:rFonts w:ascii="Garamond" w:hAnsi="Garamond"/>
                <w:sz w:val="24"/>
                <w:szCs w:val="24"/>
              </w:rPr>
              <w:t>. New York and London: Norton, 2015. Print.</w:t>
            </w:r>
          </w:p>
          <w:p w:rsidR="004D5ED7" w:rsidRPr="00F17B78" w:rsidRDefault="004D5ED7" w:rsidP="00F17B7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105C" w:rsidRPr="00F17B78" w:rsidRDefault="003E3251" w:rsidP="00F17B78">
      <w:pPr>
        <w:jc w:val="both"/>
        <w:rPr>
          <w:sz w:val="24"/>
          <w:szCs w:val="24"/>
        </w:rPr>
      </w:pPr>
    </w:p>
    <w:sectPr w:rsidR="008D105C" w:rsidRPr="00F1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13B2A"/>
    <w:rsid w:val="00065FF3"/>
    <w:rsid w:val="001B5778"/>
    <w:rsid w:val="00257AF9"/>
    <w:rsid w:val="003E3251"/>
    <w:rsid w:val="004D5ED7"/>
    <w:rsid w:val="00695954"/>
    <w:rsid w:val="006C2C24"/>
    <w:rsid w:val="00711D8A"/>
    <w:rsid w:val="007322E7"/>
    <w:rsid w:val="009108F1"/>
    <w:rsid w:val="009B4783"/>
    <w:rsid w:val="00AA6CC3"/>
    <w:rsid w:val="00D2334F"/>
    <w:rsid w:val="00ED6D6A"/>
    <w:rsid w:val="00F1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711D8A"/>
    <w:rPr>
      <w:color w:val="0000FF" w:themeColor="hyperlink"/>
      <w:u w:val="single"/>
    </w:rPr>
  </w:style>
  <w:style w:type="character" w:customStyle="1" w:styleId="object">
    <w:name w:val="object"/>
    <w:rsid w:val="00711D8A"/>
  </w:style>
  <w:style w:type="character" w:customStyle="1" w:styleId="citationbook">
    <w:name w:val="citation book"/>
    <w:rsid w:val="00711D8A"/>
  </w:style>
  <w:style w:type="character" w:customStyle="1" w:styleId="UnresolvedMention">
    <w:name w:val="Unresolved Mention"/>
    <w:basedOn w:val="Bekezdsalapbettpusa"/>
    <w:uiPriority w:val="99"/>
    <w:semiHidden/>
    <w:unhideWhenUsed/>
    <w:rsid w:val="00F17B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711D8A"/>
    <w:rPr>
      <w:color w:val="0000FF" w:themeColor="hyperlink"/>
      <w:u w:val="single"/>
    </w:rPr>
  </w:style>
  <w:style w:type="character" w:customStyle="1" w:styleId="object">
    <w:name w:val="object"/>
    <w:rsid w:val="00711D8A"/>
  </w:style>
  <w:style w:type="character" w:customStyle="1" w:styleId="citationbook">
    <w:name w:val="citation book"/>
    <w:rsid w:val="00711D8A"/>
  </w:style>
  <w:style w:type="character" w:customStyle="1" w:styleId="UnresolvedMention">
    <w:name w:val="Unresolved Mention"/>
    <w:basedOn w:val="Bekezdsalapbettpusa"/>
    <w:uiPriority w:val="99"/>
    <w:semiHidden/>
    <w:unhideWhenUsed/>
    <w:rsid w:val="00F17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enton@email.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3</cp:revision>
  <dcterms:created xsi:type="dcterms:W3CDTF">2017-11-20T10:38:00Z</dcterms:created>
  <dcterms:modified xsi:type="dcterms:W3CDTF">2017-11-20T10:45:00Z</dcterms:modified>
</cp:coreProperties>
</file>