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9497"/>
      </w:tblGrid>
      <w:tr w:rsidR="006935E2" w:rsidTr="004D5ED7">
        <w:trPr>
          <w:cantSplit/>
          <w:trHeight w:val="815"/>
        </w:trPr>
        <w:tc>
          <w:tcPr>
            <w:tcW w:w="9497" w:type="dxa"/>
            <w:shd w:val="clear" w:color="auto" w:fill="FFFFFF"/>
            <w:vAlign w:val="center"/>
          </w:tcPr>
          <w:p w:rsidR="006935E2" w:rsidRPr="00F96453" w:rsidRDefault="006935E2" w:rsidP="00625212">
            <w:pPr>
              <w:jc w:val="both"/>
              <w:rPr>
                <w:b/>
                <w:sz w:val="24"/>
                <w:szCs w:val="24"/>
                <w:lang w:val="en-US"/>
              </w:rPr>
            </w:pPr>
            <w:r w:rsidRPr="003716B5">
              <w:rPr>
                <w:bCs/>
                <w:i/>
                <w:sz w:val="24"/>
                <w:szCs w:val="24"/>
              </w:rPr>
              <w:t>Title and Code of Course</w:t>
            </w:r>
            <w:r w:rsidRPr="000C431E">
              <w:rPr>
                <w:bCs/>
                <w:sz w:val="24"/>
                <w:szCs w:val="24"/>
              </w:rPr>
              <w:t>:</w:t>
            </w:r>
            <w:r>
              <w:rPr>
                <w:bCs/>
                <w:sz w:val="24"/>
                <w:szCs w:val="24"/>
              </w:rPr>
              <w:t xml:space="preserve"> Spirituality and Social Work</w:t>
            </w:r>
          </w:p>
        </w:tc>
      </w:tr>
      <w:tr w:rsidR="006935E2" w:rsidTr="004D5ED7">
        <w:trPr>
          <w:cantSplit/>
          <w:trHeight w:val="792"/>
        </w:trPr>
        <w:tc>
          <w:tcPr>
            <w:tcW w:w="9497" w:type="dxa"/>
            <w:shd w:val="clear" w:color="auto" w:fill="FFFFFF"/>
            <w:vAlign w:val="center"/>
          </w:tcPr>
          <w:p w:rsidR="006935E2" w:rsidRDefault="006935E2" w:rsidP="00625212">
            <w:pPr>
              <w:keepNext/>
              <w:spacing w:before="60" w:after="60"/>
              <w:ind w:left="1701" w:hanging="1701"/>
              <w:outlineLvl w:val="2"/>
              <w:rPr>
                <w:b/>
                <w:sz w:val="24"/>
              </w:rPr>
            </w:pPr>
            <w:r w:rsidRPr="003716B5">
              <w:rPr>
                <w:bCs/>
                <w:i/>
                <w:sz w:val="24"/>
              </w:rPr>
              <w:t>Instructor’s Name</w:t>
            </w:r>
            <w:r>
              <w:rPr>
                <w:bCs/>
                <w:sz w:val="24"/>
              </w:rPr>
              <w:t>: Péter Török</w:t>
            </w:r>
          </w:p>
        </w:tc>
      </w:tr>
      <w:tr w:rsidR="006935E2" w:rsidTr="004D5ED7">
        <w:trPr>
          <w:cantSplit/>
          <w:trHeight w:val="792"/>
        </w:trPr>
        <w:tc>
          <w:tcPr>
            <w:tcW w:w="9497" w:type="dxa"/>
            <w:shd w:val="clear" w:color="auto" w:fill="FFFFFF"/>
            <w:vAlign w:val="center"/>
          </w:tcPr>
          <w:p w:rsidR="006935E2" w:rsidRDefault="006935E2" w:rsidP="00810B34">
            <w:pPr>
              <w:keepNext/>
              <w:spacing w:before="240" w:after="240"/>
              <w:outlineLvl w:val="2"/>
              <w:rPr>
                <w:bCs/>
                <w:sz w:val="24"/>
              </w:rPr>
            </w:pPr>
            <w:r w:rsidRPr="003716B5">
              <w:rPr>
                <w:bCs/>
                <w:i/>
                <w:sz w:val="24"/>
              </w:rPr>
              <w:t>Instructor’s Email Address</w:t>
            </w:r>
            <w:r>
              <w:rPr>
                <w:bCs/>
                <w:sz w:val="24"/>
              </w:rPr>
              <w:t>: torok.peter@kre.hu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2160"/>
              <w:gridCol w:w="1917"/>
              <w:gridCol w:w="2825"/>
            </w:tblGrid>
            <w:tr w:rsidR="006935E2" w:rsidRPr="00AB23C5" w:rsidTr="004D5ED7">
              <w:tc>
                <w:tcPr>
                  <w:tcW w:w="2154" w:type="dxa"/>
                  <w:tcBorders>
                    <w:top w:val="single" w:sz="4" w:space="0" w:color="auto"/>
                    <w:left w:val="single" w:sz="4" w:space="0" w:color="auto"/>
                    <w:bottom w:val="single" w:sz="4" w:space="0" w:color="auto"/>
                    <w:right w:val="single" w:sz="4" w:space="0" w:color="auto"/>
                  </w:tcBorders>
                </w:tcPr>
                <w:p w:rsidR="006935E2" w:rsidRPr="00AB23C5" w:rsidRDefault="006935E2" w:rsidP="00810B34">
                  <w:pPr>
                    <w:keepNext/>
                    <w:spacing w:before="60" w:after="60"/>
                    <w:outlineLvl w:val="2"/>
                    <w:rPr>
                      <w:bCs/>
                      <w:sz w:val="24"/>
                    </w:rPr>
                  </w:pPr>
                  <w:r w:rsidRPr="00AB23C5">
                    <w:rPr>
                      <w:bCs/>
                      <w:sz w:val="24"/>
                    </w:rPr>
                    <w:t>Credit Point Value:</w:t>
                  </w:r>
                </w:p>
                <w:p w:rsidR="006935E2" w:rsidRPr="00AB23C5" w:rsidRDefault="006935E2" w:rsidP="00810B34">
                  <w:pPr>
                    <w:keepNext/>
                    <w:spacing w:before="60" w:after="60"/>
                    <w:jc w:val="center"/>
                    <w:outlineLvl w:val="2"/>
                    <w:rPr>
                      <w:b/>
                      <w:bCs/>
                      <w:sz w:val="24"/>
                    </w:rPr>
                  </w:pPr>
                  <w:r>
                    <w:rPr>
                      <w:b/>
                      <w:bCs/>
                      <w:sz w:val="24"/>
                    </w:rPr>
                    <w:t>6</w:t>
                  </w:r>
                </w:p>
              </w:tc>
              <w:tc>
                <w:tcPr>
                  <w:tcW w:w="2160" w:type="dxa"/>
                  <w:tcBorders>
                    <w:top w:val="single" w:sz="4" w:space="0" w:color="auto"/>
                    <w:left w:val="single" w:sz="4" w:space="0" w:color="auto"/>
                    <w:bottom w:val="single" w:sz="4" w:space="0" w:color="auto"/>
                    <w:right w:val="single" w:sz="4" w:space="0" w:color="auto"/>
                  </w:tcBorders>
                </w:tcPr>
                <w:p w:rsidR="006935E2" w:rsidRPr="00AB23C5" w:rsidRDefault="006935E2" w:rsidP="00625212">
                  <w:pPr>
                    <w:keepNext/>
                    <w:spacing w:before="60" w:after="60"/>
                    <w:outlineLvl w:val="2"/>
                    <w:rPr>
                      <w:bCs/>
                      <w:sz w:val="24"/>
                    </w:rPr>
                  </w:pPr>
                  <w:r w:rsidRPr="00AB23C5">
                    <w:rPr>
                      <w:bCs/>
                      <w:sz w:val="24"/>
                    </w:rPr>
                    <w:t xml:space="preserve">Number of Lessons per Week:       </w:t>
                  </w:r>
                </w:p>
                <w:p w:rsidR="006935E2" w:rsidRPr="00AB23C5" w:rsidRDefault="006935E2" w:rsidP="00810B34">
                  <w:pPr>
                    <w:keepNext/>
                    <w:spacing w:before="60" w:after="60"/>
                    <w:outlineLvl w:val="2"/>
                    <w:rPr>
                      <w:bCs/>
                      <w:sz w:val="24"/>
                    </w:rPr>
                  </w:pPr>
                  <w:r>
                    <w:rPr>
                      <w:bCs/>
                      <w:sz w:val="24"/>
                    </w:rPr>
                    <w:t>2</w:t>
                  </w:r>
                </w:p>
              </w:tc>
              <w:tc>
                <w:tcPr>
                  <w:tcW w:w="1917" w:type="dxa"/>
                  <w:tcBorders>
                    <w:top w:val="single" w:sz="4" w:space="0" w:color="auto"/>
                    <w:left w:val="single" w:sz="4" w:space="0" w:color="auto"/>
                    <w:bottom w:val="single" w:sz="4" w:space="0" w:color="auto"/>
                    <w:right w:val="single" w:sz="4" w:space="0" w:color="auto"/>
                  </w:tcBorders>
                </w:tcPr>
                <w:p w:rsidR="006935E2" w:rsidRPr="00AB23C5" w:rsidRDefault="006935E2" w:rsidP="00810B34">
                  <w:pPr>
                    <w:keepNext/>
                    <w:spacing w:before="60" w:after="60"/>
                    <w:outlineLvl w:val="2"/>
                    <w:rPr>
                      <w:bCs/>
                      <w:sz w:val="24"/>
                    </w:rPr>
                  </w:pPr>
                  <w:r w:rsidRPr="00AB23C5">
                    <w:rPr>
                      <w:bCs/>
                      <w:sz w:val="24"/>
                    </w:rPr>
                    <w:t>Type of Course:</w:t>
                  </w:r>
                </w:p>
                <w:p w:rsidR="006935E2" w:rsidRDefault="006935E2" w:rsidP="00810B34">
                  <w:pPr>
                    <w:keepNext/>
                    <w:spacing w:before="60" w:after="60"/>
                    <w:jc w:val="center"/>
                    <w:outlineLvl w:val="2"/>
                    <w:rPr>
                      <w:b/>
                      <w:bCs/>
                      <w:sz w:val="24"/>
                    </w:rPr>
                  </w:pPr>
                  <w:r>
                    <w:rPr>
                      <w:b/>
                      <w:bCs/>
                      <w:sz w:val="24"/>
                    </w:rPr>
                    <w:t xml:space="preserve">Seminar  </w:t>
                  </w:r>
                  <w:r>
                    <w:rPr>
                      <w:rFonts w:ascii="MS Gothic" w:eastAsia="MS Gothic" w:hAnsi="MS Gothic" w:hint="eastAsia"/>
                      <w:b/>
                      <w:bCs/>
                      <w:sz w:val="24"/>
                    </w:rPr>
                    <w:t>☐</w:t>
                  </w:r>
                </w:p>
                <w:p w:rsidR="006935E2" w:rsidRPr="00755959" w:rsidRDefault="006935E2" w:rsidP="00810B34">
                  <w:pPr>
                    <w:keepNext/>
                    <w:spacing w:before="60" w:after="60"/>
                    <w:jc w:val="center"/>
                    <w:outlineLvl w:val="2"/>
                    <w:rPr>
                      <w:b/>
                      <w:bCs/>
                      <w:sz w:val="24"/>
                      <w:u w:val="single"/>
                    </w:rPr>
                  </w:pPr>
                  <w:r w:rsidRPr="00755959">
                    <w:rPr>
                      <w:b/>
                      <w:bCs/>
                      <w:sz w:val="24"/>
                      <w:u w:val="single"/>
                    </w:rPr>
                    <w:t xml:space="preserve">Lecture </w:t>
                  </w:r>
                  <w:r w:rsidRPr="00755959">
                    <w:rPr>
                      <w:rFonts w:ascii="MS Gothic" w:eastAsia="MS Gothic" w:hAnsi="MS Gothic" w:hint="eastAsia"/>
                      <w:b/>
                      <w:bCs/>
                      <w:sz w:val="24"/>
                      <w:u w:val="single"/>
                    </w:rPr>
                    <w:t>☐</w:t>
                  </w:r>
                  <w:r w:rsidRPr="00755959">
                    <w:rPr>
                      <w:rFonts w:ascii="MS Gothic" w:eastAsia="MS Gothic" w:hAnsi="MS Gothic"/>
                      <w:b/>
                      <w:bCs/>
                      <w:sz w:val="24"/>
                      <w:u w:val="single"/>
                    </w:rPr>
                    <w:t>X</w:t>
                  </w:r>
                </w:p>
              </w:tc>
              <w:tc>
                <w:tcPr>
                  <w:tcW w:w="2825" w:type="dxa"/>
                  <w:tcBorders>
                    <w:top w:val="single" w:sz="4" w:space="0" w:color="auto"/>
                    <w:left w:val="single" w:sz="4" w:space="0" w:color="auto"/>
                    <w:bottom w:val="single" w:sz="4" w:space="0" w:color="auto"/>
                    <w:right w:val="single" w:sz="4" w:space="0" w:color="auto"/>
                  </w:tcBorders>
                </w:tcPr>
                <w:p w:rsidR="006935E2" w:rsidRPr="00AB23C5" w:rsidRDefault="006935E2" w:rsidP="00810B34">
                  <w:pPr>
                    <w:keepNext/>
                    <w:spacing w:before="60" w:after="60"/>
                    <w:outlineLvl w:val="2"/>
                    <w:rPr>
                      <w:bCs/>
                      <w:sz w:val="24"/>
                    </w:rPr>
                  </w:pPr>
                  <w:r w:rsidRPr="00AB23C5">
                    <w:rPr>
                      <w:bCs/>
                      <w:sz w:val="24"/>
                    </w:rPr>
                    <w:t>Method of Evaluation:</w:t>
                  </w:r>
                </w:p>
                <w:p w:rsidR="006935E2" w:rsidRDefault="006935E2" w:rsidP="00810B34">
                  <w:pPr>
                    <w:keepNext/>
                    <w:spacing w:before="60" w:after="60"/>
                    <w:jc w:val="center"/>
                    <w:outlineLvl w:val="2"/>
                    <w:rPr>
                      <w:b/>
                      <w:bCs/>
                      <w:sz w:val="24"/>
                    </w:rPr>
                  </w:pPr>
                  <w:r>
                    <w:rPr>
                      <w:b/>
                      <w:bCs/>
                      <w:sz w:val="24"/>
                    </w:rPr>
                    <w:t xml:space="preserve">Oral Examination </w:t>
                  </w:r>
                  <w:r>
                    <w:rPr>
                      <w:rFonts w:ascii="MS Gothic" w:eastAsia="MS Gothic" w:hAnsi="MS Gothic" w:hint="eastAsia"/>
                      <w:b/>
                      <w:bCs/>
                      <w:sz w:val="24"/>
                    </w:rPr>
                    <w:t>☐</w:t>
                  </w:r>
                </w:p>
                <w:p w:rsidR="006935E2" w:rsidRDefault="006935E2" w:rsidP="00810B34">
                  <w:pPr>
                    <w:keepNext/>
                    <w:spacing w:before="60" w:after="60"/>
                    <w:jc w:val="center"/>
                    <w:outlineLvl w:val="2"/>
                    <w:rPr>
                      <w:b/>
                      <w:bCs/>
                      <w:sz w:val="24"/>
                    </w:rPr>
                  </w:pPr>
                  <w:r w:rsidRPr="00E236AE">
                    <w:rPr>
                      <w:b/>
                      <w:bCs/>
                      <w:sz w:val="24"/>
                    </w:rPr>
                    <w:t xml:space="preserve">In-Class </w:t>
                  </w:r>
                  <w:r>
                    <w:rPr>
                      <w:b/>
                      <w:bCs/>
                      <w:sz w:val="24"/>
                    </w:rPr>
                    <w:t xml:space="preserve">Group </w:t>
                  </w:r>
                  <w:r w:rsidRPr="00E236AE">
                    <w:rPr>
                      <w:b/>
                      <w:bCs/>
                      <w:sz w:val="24"/>
                    </w:rPr>
                    <w:t xml:space="preserve">Presentation </w:t>
                  </w:r>
                  <w:r>
                    <w:rPr>
                      <w:rFonts w:ascii="MS Gothic" w:eastAsia="MS Gothic" w:hAnsi="MS Gothic" w:hint="eastAsia"/>
                      <w:b/>
                      <w:bCs/>
                      <w:sz w:val="24"/>
                    </w:rPr>
                    <w:t>☐</w:t>
                  </w:r>
                </w:p>
                <w:p w:rsidR="006935E2" w:rsidRPr="00755959" w:rsidRDefault="006935E2" w:rsidP="00810B34">
                  <w:pPr>
                    <w:keepNext/>
                    <w:spacing w:before="60" w:after="60"/>
                    <w:jc w:val="center"/>
                    <w:outlineLvl w:val="2"/>
                    <w:rPr>
                      <w:b/>
                      <w:bCs/>
                      <w:sz w:val="24"/>
                      <w:u w:val="single"/>
                    </w:rPr>
                  </w:pPr>
                  <w:r w:rsidRPr="00755959">
                    <w:rPr>
                      <w:b/>
                      <w:bCs/>
                      <w:sz w:val="24"/>
                      <w:u w:val="single"/>
                    </w:rPr>
                    <w:t xml:space="preserve">Other </w:t>
                  </w:r>
                  <w:r w:rsidRPr="00755959">
                    <w:rPr>
                      <w:rFonts w:ascii="MS Gothic" w:eastAsia="MS Gothic" w:hAnsi="MS Gothic" w:hint="eastAsia"/>
                      <w:b/>
                      <w:bCs/>
                      <w:sz w:val="24"/>
                      <w:u w:val="single"/>
                    </w:rPr>
                    <w:t>☐</w:t>
                  </w:r>
                  <w:r w:rsidRPr="00755959">
                    <w:rPr>
                      <w:rFonts w:ascii="MS Gothic" w:eastAsia="MS Gothic" w:hAnsi="MS Gothic"/>
                      <w:b/>
                      <w:bCs/>
                      <w:sz w:val="24"/>
                      <w:u w:val="single"/>
                    </w:rPr>
                    <w:t>X</w:t>
                  </w:r>
                </w:p>
              </w:tc>
            </w:tr>
          </w:tbl>
          <w:p w:rsidR="006935E2" w:rsidRDefault="006935E2" w:rsidP="00810B34">
            <w:pPr>
              <w:keepNext/>
              <w:spacing w:before="60" w:after="60"/>
              <w:outlineLvl w:val="2"/>
              <w:rPr>
                <w:bCs/>
                <w:sz w:val="24"/>
              </w:rPr>
            </w:pPr>
          </w:p>
        </w:tc>
      </w:tr>
      <w:tr w:rsidR="006935E2" w:rsidTr="004D5ED7">
        <w:trPr>
          <w:cantSplit/>
          <w:trHeight w:val="2116"/>
        </w:trPr>
        <w:tc>
          <w:tcPr>
            <w:tcW w:w="9497" w:type="dxa"/>
          </w:tcPr>
          <w:p w:rsidR="006935E2" w:rsidRDefault="006935E2" w:rsidP="00810B34">
            <w:pPr>
              <w:rPr>
                <w:b/>
                <w:sz w:val="24"/>
              </w:rPr>
            </w:pPr>
            <w:r>
              <w:rPr>
                <w:b/>
                <w:sz w:val="24"/>
              </w:rPr>
              <w:t>Course Description:</w:t>
            </w:r>
          </w:p>
          <w:p w:rsidR="006935E2" w:rsidRDefault="006935E2" w:rsidP="00810B34">
            <w:pPr>
              <w:ind w:left="283" w:right="293"/>
              <w:jc w:val="both"/>
              <w:rPr>
                <w:color w:val="000000"/>
                <w:sz w:val="24"/>
                <w:szCs w:val="24"/>
              </w:rPr>
            </w:pPr>
            <w:r>
              <w:rPr>
                <w:color w:val="000000"/>
                <w:sz w:val="24"/>
                <w:szCs w:val="24"/>
              </w:rPr>
              <w:t>The course begins with the examination of the role of religion in the individuals’ life, followed by the mutual interactions of religion and communities. The final unit of the course is the analysis of how different world views (world religions and secular world views) can be utilized in social work.</w:t>
            </w:r>
          </w:p>
          <w:p w:rsidR="006935E2" w:rsidRPr="0081193C" w:rsidRDefault="006935E2" w:rsidP="00810B34">
            <w:pPr>
              <w:ind w:left="283" w:right="293"/>
              <w:jc w:val="both"/>
              <w:rPr>
                <w:color w:val="000000"/>
                <w:sz w:val="24"/>
                <w:szCs w:val="24"/>
              </w:rPr>
            </w:pPr>
          </w:p>
          <w:p w:rsidR="006935E2" w:rsidRDefault="006935E2" w:rsidP="00755959">
            <w:pPr>
              <w:pStyle w:val="ListParagraph"/>
              <w:numPr>
                <w:ilvl w:val="0"/>
                <w:numId w:val="1"/>
              </w:numPr>
              <w:jc w:val="both"/>
            </w:pPr>
            <w:r w:rsidRPr="000067AD">
              <w:t>Introduction</w:t>
            </w:r>
          </w:p>
          <w:p w:rsidR="006935E2" w:rsidRDefault="006935E2" w:rsidP="00755959">
            <w:pPr>
              <w:pStyle w:val="ListParagraph"/>
              <w:numPr>
                <w:ilvl w:val="0"/>
                <w:numId w:val="1"/>
              </w:numPr>
              <w:jc w:val="both"/>
            </w:pPr>
            <w:r>
              <w:t>Definitions: religion, spritiuality, their dimensions</w:t>
            </w:r>
          </w:p>
          <w:p w:rsidR="006935E2" w:rsidRPr="000067AD" w:rsidRDefault="006935E2" w:rsidP="00755959">
            <w:pPr>
              <w:ind w:left="360"/>
              <w:jc w:val="both"/>
              <w:rPr>
                <w:i/>
              </w:rPr>
            </w:pPr>
            <w:r w:rsidRPr="000067AD">
              <w:rPr>
                <w:i/>
              </w:rPr>
              <w:t>The individual and spirituality</w:t>
            </w:r>
          </w:p>
          <w:p w:rsidR="006935E2" w:rsidRDefault="006935E2" w:rsidP="00755959">
            <w:pPr>
              <w:pStyle w:val="ListParagraph"/>
              <w:numPr>
                <w:ilvl w:val="0"/>
                <w:numId w:val="1"/>
              </w:numPr>
              <w:jc w:val="both"/>
            </w:pPr>
            <w:r>
              <w:t xml:space="preserve"> Meaning systems and its consequences on well-being (dualism)</w:t>
            </w:r>
          </w:p>
          <w:p w:rsidR="006935E2" w:rsidRDefault="006935E2" w:rsidP="00755959">
            <w:pPr>
              <w:pStyle w:val="ListParagraph"/>
              <w:numPr>
                <w:ilvl w:val="0"/>
                <w:numId w:val="1"/>
              </w:numPr>
              <w:jc w:val="both"/>
            </w:pPr>
            <w:r>
              <w:t>Plausibility structure and its consequences on well-being (millenarism)</w:t>
            </w:r>
          </w:p>
          <w:p w:rsidR="006935E2" w:rsidRDefault="006935E2" w:rsidP="00755959">
            <w:pPr>
              <w:pStyle w:val="ListParagraph"/>
              <w:numPr>
                <w:ilvl w:val="0"/>
                <w:numId w:val="1"/>
              </w:numPr>
              <w:jc w:val="both"/>
            </w:pPr>
            <w:r>
              <w:t>The phases of individuals’ religiosity</w:t>
            </w:r>
          </w:p>
          <w:p w:rsidR="006935E2" w:rsidRDefault="006935E2" w:rsidP="00755959">
            <w:pPr>
              <w:pStyle w:val="ListParagraph"/>
              <w:numPr>
                <w:ilvl w:val="0"/>
                <w:numId w:val="1"/>
              </w:numPr>
              <w:jc w:val="both"/>
            </w:pPr>
            <w:r>
              <w:t>Women and spirituality</w:t>
            </w:r>
          </w:p>
          <w:p w:rsidR="006935E2" w:rsidRPr="000067AD" w:rsidRDefault="006935E2" w:rsidP="00755959">
            <w:pPr>
              <w:ind w:left="360"/>
              <w:jc w:val="both"/>
              <w:rPr>
                <w:i/>
              </w:rPr>
            </w:pPr>
            <w:r w:rsidRPr="000067AD">
              <w:rPr>
                <w:i/>
              </w:rPr>
              <w:t>Community and spirituality</w:t>
            </w:r>
          </w:p>
          <w:p w:rsidR="006935E2" w:rsidRDefault="006935E2" w:rsidP="00755959">
            <w:pPr>
              <w:pStyle w:val="ListParagraph"/>
              <w:numPr>
                <w:ilvl w:val="0"/>
                <w:numId w:val="1"/>
              </w:numPr>
              <w:jc w:val="both"/>
            </w:pPr>
            <w:r>
              <w:t>Religion and community (church-sect typology)</w:t>
            </w:r>
          </w:p>
          <w:p w:rsidR="006935E2" w:rsidRDefault="006935E2" w:rsidP="00755959">
            <w:pPr>
              <w:pStyle w:val="ListParagraph"/>
              <w:numPr>
                <w:ilvl w:val="0"/>
                <w:numId w:val="1"/>
              </w:numPr>
              <w:jc w:val="both"/>
            </w:pPr>
            <w:r>
              <w:t>Religion and social change (Durkheim, Weber)</w:t>
            </w:r>
          </w:p>
          <w:p w:rsidR="006935E2" w:rsidRPr="000067AD" w:rsidRDefault="006935E2" w:rsidP="00755959">
            <w:pPr>
              <w:ind w:left="360"/>
              <w:jc w:val="both"/>
              <w:rPr>
                <w:i/>
              </w:rPr>
            </w:pPr>
            <w:r w:rsidRPr="000067AD">
              <w:rPr>
                <w:i/>
              </w:rPr>
              <w:t>World religions and their social consequences</w:t>
            </w:r>
          </w:p>
          <w:p w:rsidR="006935E2" w:rsidRDefault="006935E2" w:rsidP="00755959">
            <w:pPr>
              <w:pStyle w:val="ListParagraph"/>
              <w:numPr>
                <w:ilvl w:val="0"/>
                <w:numId w:val="1"/>
              </w:numPr>
              <w:jc w:val="both"/>
            </w:pPr>
            <w:r>
              <w:t xml:space="preserve"> Christianity</w:t>
            </w:r>
          </w:p>
          <w:p w:rsidR="006935E2" w:rsidRDefault="006935E2" w:rsidP="00755959">
            <w:pPr>
              <w:pStyle w:val="ListParagraph"/>
              <w:numPr>
                <w:ilvl w:val="0"/>
                <w:numId w:val="1"/>
              </w:numPr>
              <w:jc w:val="both"/>
            </w:pPr>
            <w:r>
              <w:t>Islam</w:t>
            </w:r>
          </w:p>
          <w:p w:rsidR="006935E2" w:rsidRDefault="006935E2" w:rsidP="00755959">
            <w:pPr>
              <w:pStyle w:val="ListParagraph"/>
              <w:numPr>
                <w:ilvl w:val="0"/>
                <w:numId w:val="1"/>
              </w:numPr>
              <w:jc w:val="both"/>
            </w:pPr>
            <w:r>
              <w:t>Buddhism and Hinduism</w:t>
            </w:r>
          </w:p>
          <w:p w:rsidR="006935E2" w:rsidRDefault="006935E2" w:rsidP="00755959">
            <w:pPr>
              <w:pStyle w:val="ListParagraph"/>
              <w:numPr>
                <w:ilvl w:val="0"/>
                <w:numId w:val="1"/>
              </w:numPr>
              <w:jc w:val="both"/>
            </w:pPr>
            <w:r>
              <w:t>„Establishing a Religious Entity” (consultation)</w:t>
            </w:r>
          </w:p>
          <w:p w:rsidR="006935E2" w:rsidRPr="00E236AE" w:rsidRDefault="006935E2" w:rsidP="00810B34">
            <w:pPr>
              <w:ind w:left="283" w:right="293"/>
              <w:jc w:val="both"/>
              <w:rPr>
                <w:sz w:val="24"/>
                <w:szCs w:val="24"/>
                <w:lang w:val="en-US"/>
              </w:rPr>
            </w:pPr>
          </w:p>
        </w:tc>
      </w:tr>
      <w:tr w:rsidR="006935E2" w:rsidTr="004D5ED7">
        <w:trPr>
          <w:cantSplit/>
          <w:trHeight w:val="315"/>
        </w:trPr>
        <w:tc>
          <w:tcPr>
            <w:tcW w:w="9497" w:type="dxa"/>
          </w:tcPr>
          <w:p w:rsidR="006935E2" w:rsidRDefault="006935E2" w:rsidP="00810B34">
            <w:pPr>
              <w:rPr>
                <w:b/>
                <w:sz w:val="24"/>
              </w:rPr>
            </w:pPr>
            <w:r>
              <w:rPr>
                <w:b/>
                <w:sz w:val="24"/>
              </w:rPr>
              <w:t>Bibliography:</w:t>
            </w:r>
          </w:p>
          <w:p w:rsidR="006935E2" w:rsidRDefault="006935E2" w:rsidP="00A3670E">
            <w:pPr>
              <w:numPr>
                <w:ilvl w:val="0"/>
                <w:numId w:val="2"/>
              </w:numPr>
              <w:rPr>
                <w:bCs/>
                <w:iCs/>
                <w:sz w:val="24"/>
                <w:szCs w:val="24"/>
                <w:lang w:val="en-US"/>
              </w:rPr>
            </w:pPr>
            <w:r>
              <w:rPr>
                <w:bCs/>
                <w:iCs/>
                <w:sz w:val="24"/>
                <w:szCs w:val="24"/>
                <w:lang w:val="en-US"/>
              </w:rPr>
              <w:t>Canda, E. R. – Furman, L. D. 2010 (2</w:t>
            </w:r>
            <w:r w:rsidRPr="00A3670E">
              <w:rPr>
                <w:bCs/>
                <w:iCs/>
                <w:sz w:val="24"/>
                <w:szCs w:val="24"/>
                <w:vertAlign w:val="superscript"/>
                <w:lang w:val="en-US"/>
              </w:rPr>
              <w:t>nd</w:t>
            </w:r>
            <w:r>
              <w:rPr>
                <w:bCs/>
                <w:iCs/>
                <w:sz w:val="24"/>
                <w:szCs w:val="24"/>
                <w:lang w:val="en-US"/>
              </w:rPr>
              <w:t xml:space="preserve"> ed.) </w:t>
            </w:r>
            <w:r w:rsidRPr="00A3670E">
              <w:rPr>
                <w:bCs/>
                <w:i/>
                <w:sz w:val="24"/>
                <w:szCs w:val="24"/>
                <w:lang w:val="en-US"/>
              </w:rPr>
              <w:t>Spiritual Diversity in Social Work Practice. The Heart of Helpng</w:t>
            </w:r>
            <w:r>
              <w:rPr>
                <w:bCs/>
                <w:iCs/>
                <w:sz w:val="24"/>
                <w:szCs w:val="24"/>
                <w:lang w:val="en-US"/>
              </w:rPr>
              <w:t>. Oxford Univ. Press.</w:t>
            </w:r>
          </w:p>
          <w:p w:rsidR="006935E2" w:rsidRDefault="006935E2" w:rsidP="00A3670E">
            <w:pPr>
              <w:numPr>
                <w:ilvl w:val="0"/>
                <w:numId w:val="2"/>
              </w:numPr>
              <w:rPr>
                <w:bCs/>
                <w:iCs/>
                <w:sz w:val="24"/>
                <w:szCs w:val="24"/>
                <w:lang w:val="en-US"/>
              </w:rPr>
            </w:pPr>
            <w:r>
              <w:rPr>
                <w:bCs/>
                <w:iCs/>
                <w:sz w:val="24"/>
                <w:szCs w:val="24"/>
                <w:lang w:val="en-US"/>
              </w:rPr>
              <w:t>Wiedmeyer, N. 2013 “</w:t>
            </w:r>
            <w:r>
              <w:t>Spirituality in Social Work: Therapists’ Perspectives on the Role of Spirituality Within their Practice</w:t>
            </w:r>
            <w:r>
              <w:rPr>
                <w:bCs/>
                <w:iCs/>
                <w:sz w:val="24"/>
                <w:szCs w:val="24"/>
                <w:lang w:val="en-US"/>
              </w:rPr>
              <w:t xml:space="preserve">” </w:t>
            </w:r>
            <w:r>
              <w:t>Retrieved from Sophia, the St. Catherine University repository website: https://sophia.stkate.edu/msw_papers/273</w:t>
            </w:r>
          </w:p>
          <w:p w:rsidR="006935E2" w:rsidRDefault="006935E2" w:rsidP="00625212">
            <w:pPr>
              <w:rPr>
                <w:bCs/>
                <w:iCs/>
                <w:sz w:val="24"/>
                <w:szCs w:val="24"/>
                <w:lang w:val="en-US"/>
              </w:rPr>
            </w:pPr>
          </w:p>
          <w:p w:rsidR="006935E2" w:rsidRPr="009C653A" w:rsidRDefault="006935E2" w:rsidP="00625212">
            <w:pPr>
              <w:rPr>
                <w:b/>
                <w:sz w:val="24"/>
              </w:rPr>
            </w:pPr>
          </w:p>
        </w:tc>
      </w:tr>
    </w:tbl>
    <w:p w:rsidR="006935E2" w:rsidRDefault="006935E2"/>
    <w:sectPr w:rsidR="006935E2" w:rsidSect="00CC1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398"/>
    <w:multiLevelType w:val="hybridMultilevel"/>
    <w:tmpl w:val="5106EB8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23453CC8"/>
    <w:multiLevelType w:val="hybridMultilevel"/>
    <w:tmpl w:val="E8720850"/>
    <w:lvl w:ilvl="0" w:tplc="E40A16E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ED7"/>
    <w:rsid w:val="000067AD"/>
    <w:rsid w:val="00047622"/>
    <w:rsid w:val="000C431E"/>
    <w:rsid w:val="000C5997"/>
    <w:rsid w:val="00114F5C"/>
    <w:rsid w:val="001202AE"/>
    <w:rsid w:val="001C48C6"/>
    <w:rsid w:val="002D3740"/>
    <w:rsid w:val="003716B5"/>
    <w:rsid w:val="00420542"/>
    <w:rsid w:val="004D5ED7"/>
    <w:rsid w:val="00625212"/>
    <w:rsid w:val="006935E2"/>
    <w:rsid w:val="006C2C24"/>
    <w:rsid w:val="00755959"/>
    <w:rsid w:val="00810B34"/>
    <w:rsid w:val="0081193C"/>
    <w:rsid w:val="008B2088"/>
    <w:rsid w:val="008D105C"/>
    <w:rsid w:val="00980E5A"/>
    <w:rsid w:val="009C653A"/>
    <w:rsid w:val="00A3670E"/>
    <w:rsid w:val="00AB23C5"/>
    <w:rsid w:val="00B2217C"/>
    <w:rsid w:val="00BB11EE"/>
    <w:rsid w:val="00CC15FE"/>
    <w:rsid w:val="00CD60D9"/>
    <w:rsid w:val="00D2334F"/>
    <w:rsid w:val="00E236AE"/>
    <w:rsid w:val="00ED6D6A"/>
    <w:rsid w:val="00F9645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D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5E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ED7"/>
    <w:rPr>
      <w:rFonts w:ascii="Tahoma" w:hAnsi="Tahoma" w:cs="Tahoma"/>
      <w:sz w:val="16"/>
      <w:szCs w:val="16"/>
      <w:lang w:eastAsia="hu-HU"/>
    </w:rPr>
  </w:style>
  <w:style w:type="paragraph" w:styleId="ListParagraph">
    <w:name w:val="List Paragraph"/>
    <w:basedOn w:val="Normal"/>
    <w:uiPriority w:val="99"/>
    <w:qFormat/>
    <w:rsid w:val="00755959"/>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944459347">
      <w:marLeft w:val="0"/>
      <w:marRight w:val="0"/>
      <w:marTop w:val="0"/>
      <w:marBottom w:val="0"/>
      <w:divBdr>
        <w:top w:val="none" w:sz="0" w:space="0" w:color="auto"/>
        <w:left w:val="none" w:sz="0" w:space="0" w:color="auto"/>
        <w:bottom w:val="none" w:sz="0" w:space="0" w:color="auto"/>
        <w:right w:val="none" w:sz="0" w:space="0" w:color="auto"/>
      </w:divBdr>
      <w:divsChild>
        <w:div w:id="944459346">
          <w:marLeft w:val="0"/>
          <w:marRight w:val="0"/>
          <w:marTop w:val="280"/>
          <w:marBottom w:val="280"/>
          <w:divBdr>
            <w:top w:val="none" w:sz="0" w:space="0" w:color="auto"/>
            <w:left w:val="none" w:sz="0" w:space="0" w:color="auto"/>
            <w:bottom w:val="none" w:sz="0" w:space="0" w:color="auto"/>
            <w:right w:val="none" w:sz="0" w:space="0" w:color="auto"/>
          </w:divBdr>
        </w:div>
        <w:div w:id="944459348">
          <w:marLeft w:val="0"/>
          <w:marRight w:val="0"/>
          <w:marTop w:val="280"/>
          <w:marBottom w:val="280"/>
          <w:divBdr>
            <w:top w:val="none" w:sz="0" w:space="0" w:color="auto"/>
            <w:left w:val="none" w:sz="0" w:space="0" w:color="auto"/>
            <w:bottom w:val="none" w:sz="0" w:space="0" w:color="auto"/>
            <w:right w:val="none" w:sz="0" w:space="0" w:color="auto"/>
          </w:divBdr>
        </w:div>
        <w:div w:id="944459349">
          <w:marLeft w:val="0"/>
          <w:marRight w:val="0"/>
          <w:marTop w:val="280"/>
          <w:marBottom w:val="280"/>
          <w:divBdr>
            <w:top w:val="none" w:sz="0" w:space="0" w:color="auto"/>
            <w:left w:val="none" w:sz="0" w:space="0" w:color="auto"/>
            <w:bottom w:val="none" w:sz="0" w:space="0" w:color="auto"/>
            <w:right w:val="none" w:sz="0" w:space="0" w:color="auto"/>
          </w:divBdr>
        </w:div>
        <w:div w:id="944459350">
          <w:marLeft w:val="0"/>
          <w:marRight w:val="0"/>
          <w:marTop w:val="280"/>
          <w:marBottom w:val="280"/>
          <w:divBdr>
            <w:top w:val="none" w:sz="0" w:space="0" w:color="auto"/>
            <w:left w:val="none" w:sz="0" w:space="0" w:color="auto"/>
            <w:bottom w:val="none" w:sz="0" w:space="0" w:color="auto"/>
            <w:right w:val="none" w:sz="0" w:space="0" w:color="auto"/>
          </w:divBdr>
        </w:div>
        <w:div w:id="94445935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199</Words>
  <Characters>1377</Characters>
  <Application>Microsoft Office Outlook</Application>
  <DocSecurity>0</DocSecurity>
  <Lines>0</Lines>
  <Paragraphs>0</Paragraphs>
  <ScaleCrop>false</ScaleCrop>
  <Company>KRE-BTK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and Code of Course: Spirituality and Social Work</dc:title>
  <dc:subject/>
  <dc:creator>Tóth Dóra</dc:creator>
  <cp:keywords/>
  <dc:description/>
  <cp:lastModifiedBy>TAK</cp:lastModifiedBy>
  <cp:revision>2</cp:revision>
  <cp:lastPrinted>2018-01-30T08:17:00Z</cp:lastPrinted>
  <dcterms:created xsi:type="dcterms:W3CDTF">2018-11-23T09:32:00Z</dcterms:created>
  <dcterms:modified xsi:type="dcterms:W3CDTF">2018-11-23T09:32:00Z</dcterms:modified>
</cp:coreProperties>
</file>