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2E127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E1277" w:rsidRDefault="004D5ED7" w:rsidP="00810B34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2E1277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2E1277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8317CB" w:rsidRPr="002E1277">
              <w:rPr>
                <w:bCs/>
                <w:sz w:val="24"/>
                <w:szCs w:val="24"/>
                <w:lang w:val="en-GB"/>
              </w:rPr>
              <w:t>Theory</w:t>
            </w:r>
            <w:r w:rsidR="00263DE4" w:rsidRPr="002E1277">
              <w:rPr>
                <w:bCs/>
                <w:sz w:val="24"/>
                <w:szCs w:val="24"/>
                <w:lang w:val="en-GB"/>
              </w:rPr>
              <w:t xml:space="preserve"> of English Language Teaching</w:t>
            </w:r>
            <w:r w:rsidR="008317CB" w:rsidRPr="002E1277">
              <w:rPr>
                <w:bCs/>
                <w:sz w:val="24"/>
                <w:szCs w:val="24"/>
                <w:lang w:val="en-GB"/>
              </w:rPr>
              <w:t xml:space="preserve">, </w:t>
            </w:r>
            <w:r w:rsidR="0066766B">
              <w:rPr>
                <w:bCs/>
                <w:sz w:val="24"/>
                <w:szCs w:val="24"/>
                <w:lang w:val="en-GB"/>
              </w:rPr>
              <w:t>ERPB-</w:t>
            </w:r>
            <w:r w:rsidR="008317CB" w:rsidRPr="002E1277">
              <w:rPr>
                <w:bCs/>
                <w:sz w:val="24"/>
                <w:szCs w:val="24"/>
                <w:lang w:val="en-GB"/>
              </w:rPr>
              <w:t>TOS 1010</w:t>
            </w:r>
          </w:p>
        </w:tc>
      </w:tr>
      <w:tr w:rsidR="004D5ED7" w:rsidRPr="002E12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E127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2E1277">
              <w:rPr>
                <w:bCs/>
                <w:i/>
                <w:sz w:val="24"/>
                <w:lang w:val="en-GB"/>
              </w:rPr>
              <w:t>Instructor’s Name</w:t>
            </w:r>
            <w:r w:rsidRPr="002E1277">
              <w:rPr>
                <w:bCs/>
                <w:sz w:val="24"/>
                <w:lang w:val="en-GB"/>
              </w:rPr>
              <w:t xml:space="preserve">: </w:t>
            </w:r>
            <w:proofErr w:type="spellStart"/>
            <w:r w:rsidR="00AC5A58" w:rsidRPr="002E1277">
              <w:rPr>
                <w:bCs/>
                <w:sz w:val="24"/>
                <w:lang w:val="en-GB"/>
              </w:rPr>
              <w:t>Dr.</w:t>
            </w:r>
            <w:proofErr w:type="spellEnd"/>
            <w:r w:rsidR="00AC5A58" w:rsidRPr="002E127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2E1277">
              <w:rPr>
                <w:bCs/>
                <w:sz w:val="24"/>
                <w:lang w:val="en-GB"/>
              </w:rPr>
              <w:t>Menyhei</w:t>
            </w:r>
            <w:proofErr w:type="spellEnd"/>
            <w:r w:rsidR="00AC5A58" w:rsidRPr="002E127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2E1277">
              <w:rPr>
                <w:bCs/>
                <w:sz w:val="24"/>
                <w:lang w:val="en-GB"/>
              </w:rPr>
              <w:t>Zsófia</w:t>
            </w:r>
            <w:bookmarkStart w:id="0" w:name="_GoBack"/>
            <w:bookmarkEnd w:id="0"/>
            <w:proofErr w:type="spellEnd"/>
          </w:p>
        </w:tc>
      </w:tr>
      <w:tr w:rsidR="004D5ED7" w:rsidRPr="002E12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E127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2E1277">
              <w:rPr>
                <w:bCs/>
                <w:i/>
                <w:sz w:val="24"/>
                <w:lang w:val="en-GB"/>
              </w:rPr>
              <w:t>Instructor’s Email Address</w:t>
            </w:r>
            <w:r w:rsidRPr="002E1277">
              <w:rPr>
                <w:bCs/>
                <w:sz w:val="24"/>
                <w:lang w:val="en-GB"/>
              </w:rPr>
              <w:t xml:space="preserve">: </w:t>
            </w:r>
            <w:r w:rsidR="00AC5A58" w:rsidRPr="002E1277">
              <w:rPr>
                <w:bCs/>
                <w:sz w:val="24"/>
                <w:lang w:val="en-GB"/>
              </w:rPr>
              <w:t>menyhei.zsofia@kre.hu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2E1277" w:rsidTr="004D5ED7">
              <w:tc>
                <w:tcPr>
                  <w:tcW w:w="2154" w:type="dxa"/>
                  <w:shd w:val="clear" w:color="auto" w:fill="auto"/>
                </w:tcPr>
                <w:p w:rsidR="004D5ED7" w:rsidRPr="002E127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2E1277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2E1277" w:rsidRDefault="0066766B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2E127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2E1277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="00AC5A58" w:rsidRPr="002E1277">
                    <w:rPr>
                      <w:b/>
                      <w:bCs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2E127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2E1277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2E127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2E1277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277" w:rsidRPr="002E127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2E127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2E1277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7CB" w:rsidRPr="002E127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2E127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2E1277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2E127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2E1277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E127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2E127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2E1277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2E127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2E127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2E1277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2E127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2E127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2E1277" w:rsidTr="004D5ED7">
        <w:trPr>
          <w:cantSplit/>
          <w:trHeight w:val="2116"/>
        </w:trPr>
        <w:tc>
          <w:tcPr>
            <w:tcW w:w="9497" w:type="dxa"/>
          </w:tcPr>
          <w:p w:rsidR="004D5ED7" w:rsidRPr="002E1277" w:rsidRDefault="004D5ED7" w:rsidP="00810B34">
            <w:pPr>
              <w:rPr>
                <w:b/>
                <w:sz w:val="24"/>
                <w:lang w:val="en-GB"/>
              </w:rPr>
            </w:pPr>
            <w:r w:rsidRPr="002E1277">
              <w:rPr>
                <w:b/>
                <w:sz w:val="24"/>
                <w:lang w:val="en-GB"/>
              </w:rPr>
              <w:t>Course Description:</w:t>
            </w:r>
          </w:p>
          <w:p w:rsidR="00263DE4" w:rsidRPr="002E1277" w:rsidRDefault="00263DE4" w:rsidP="00810B34">
            <w:pPr>
              <w:rPr>
                <w:b/>
                <w:sz w:val="24"/>
                <w:lang w:val="en-GB"/>
              </w:rPr>
            </w:pPr>
          </w:p>
          <w:p w:rsidR="004137BC" w:rsidRPr="002E1277" w:rsidRDefault="004137BC" w:rsidP="004137BC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The course </w:t>
            </w:r>
            <w:r w:rsidR="00235F91" w:rsidRPr="002E1277">
              <w:rPr>
                <w:bCs/>
                <w:iCs/>
                <w:sz w:val="24"/>
                <w:szCs w:val="24"/>
                <w:lang w:val="en-GB"/>
              </w:rPr>
              <w:t xml:space="preserve">aims to provide teacher trainees with 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an overview of the most important areas and issues in applied linguistics and English </w:t>
            </w:r>
            <w:r w:rsidR="00235F91" w:rsidRPr="002E1277">
              <w:rPr>
                <w:bCs/>
                <w:iCs/>
                <w:sz w:val="24"/>
                <w:szCs w:val="24"/>
                <w:lang w:val="en-GB"/>
              </w:rPr>
              <w:t xml:space="preserve">language teaching. </w:t>
            </w:r>
            <w:r w:rsidR="009F6BD5" w:rsidRPr="002E1277">
              <w:rPr>
                <w:bCs/>
                <w:iCs/>
                <w:sz w:val="24"/>
                <w:szCs w:val="24"/>
                <w:lang w:val="en-GB"/>
              </w:rPr>
              <w:t xml:space="preserve">The </w:t>
            </w:r>
            <w:r w:rsidR="00235F91" w:rsidRPr="002E1277">
              <w:rPr>
                <w:bCs/>
                <w:iCs/>
                <w:sz w:val="24"/>
                <w:szCs w:val="24"/>
                <w:lang w:val="en-GB"/>
              </w:rPr>
              <w:t xml:space="preserve">lecture </w:t>
            </w:r>
            <w:r w:rsidR="009F6BD5" w:rsidRPr="002E1277">
              <w:rPr>
                <w:bCs/>
                <w:iCs/>
                <w:sz w:val="24"/>
                <w:szCs w:val="24"/>
                <w:lang w:val="en-GB"/>
              </w:rPr>
              <w:t xml:space="preserve">and the corresponding seminar (Practice of ELT) build on each other: participants will be able to see how 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>current principles in the field</w:t>
            </w:r>
            <w:r w:rsidR="009F6BD5" w:rsidRPr="002E1277">
              <w:rPr>
                <w:bCs/>
                <w:iCs/>
                <w:sz w:val="24"/>
                <w:szCs w:val="24"/>
                <w:lang w:val="en-GB"/>
              </w:rPr>
              <w:t xml:space="preserve"> translate into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 what </w:t>
            </w:r>
            <w:r w:rsidR="009F6BD5" w:rsidRPr="002E1277">
              <w:rPr>
                <w:bCs/>
                <w:iCs/>
                <w:sz w:val="24"/>
                <w:szCs w:val="24"/>
                <w:lang w:val="en-GB"/>
              </w:rPr>
              <w:t xml:space="preserve">actually 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>goes on in the English language classroom.</w:t>
            </w:r>
            <w:r w:rsidRPr="002E1277">
              <w:rPr>
                <w:sz w:val="24"/>
                <w:szCs w:val="24"/>
                <w:lang w:val="en-GB"/>
              </w:rPr>
              <w:t xml:space="preserve"> The overall aim of t</w:t>
            </w:r>
            <w:r w:rsidR="00235F91" w:rsidRPr="002E1277">
              <w:rPr>
                <w:sz w:val="24"/>
                <w:szCs w:val="24"/>
                <w:lang w:val="en-GB"/>
              </w:rPr>
              <w:t>he course is to help teacher trainee</w:t>
            </w:r>
            <w:r w:rsidRPr="002E1277">
              <w:rPr>
                <w:sz w:val="24"/>
                <w:szCs w:val="24"/>
                <w:lang w:val="en-GB"/>
              </w:rPr>
              <w:t>s develop into aware and principled professionals.</w:t>
            </w:r>
          </w:p>
          <w:p w:rsidR="00F334BE" w:rsidRPr="002E1277" w:rsidRDefault="00F334BE" w:rsidP="004137BC">
            <w:pPr>
              <w:ind w:right="293"/>
              <w:jc w:val="both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4D5ED7" w:rsidRPr="002E1277" w:rsidTr="004D5ED7">
        <w:trPr>
          <w:cantSplit/>
          <w:trHeight w:val="315"/>
        </w:trPr>
        <w:tc>
          <w:tcPr>
            <w:tcW w:w="9497" w:type="dxa"/>
          </w:tcPr>
          <w:p w:rsidR="004D5ED7" w:rsidRPr="0066766B" w:rsidRDefault="004D5ED7" w:rsidP="00810B34">
            <w:pPr>
              <w:rPr>
                <w:sz w:val="24"/>
                <w:lang w:val="fr-FR"/>
              </w:rPr>
            </w:pPr>
            <w:r w:rsidRPr="0066766B">
              <w:rPr>
                <w:sz w:val="24"/>
                <w:lang w:val="fr-FR"/>
              </w:rPr>
              <w:t>Bibliography:</w:t>
            </w:r>
          </w:p>
          <w:p w:rsidR="00AC5A58" w:rsidRPr="0066766B" w:rsidRDefault="00AC5A58" w:rsidP="00810B34">
            <w:pPr>
              <w:rPr>
                <w:sz w:val="24"/>
                <w:lang w:val="fr-FR"/>
              </w:rPr>
            </w:pP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66766B">
              <w:rPr>
                <w:bCs/>
                <w:iCs/>
                <w:sz w:val="24"/>
                <w:szCs w:val="24"/>
                <w:lang w:val="fr-FR"/>
              </w:rPr>
              <w:t xml:space="preserve">Ellis, R. (1997). </w:t>
            </w:r>
            <w:r w:rsidRPr="0066766B">
              <w:rPr>
                <w:bCs/>
                <w:i/>
                <w:iCs/>
                <w:sz w:val="24"/>
                <w:szCs w:val="24"/>
                <w:lang w:val="fr-FR"/>
              </w:rPr>
              <w:t>Second language acquisition</w:t>
            </w:r>
            <w:r w:rsidRPr="0066766B">
              <w:rPr>
                <w:bCs/>
                <w:iCs/>
                <w:sz w:val="24"/>
                <w:szCs w:val="24"/>
                <w:lang w:val="fr-FR"/>
              </w:rPr>
              <w:t xml:space="preserve">. 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>Oxford: OUP. Chapter 5</w:t>
            </w: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Larsen-Freeman, D. (1987). From unity to diversity: Twenty-five years of language teaching methodology. </w:t>
            </w:r>
            <w:r w:rsidRPr="002E1277">
              <w:rPr>
                <w:bCs/>
                <w:i/>
                <w:iCs/>
                <w:sz w:val="24"/>
                <w:szCs w:val="24"/>
                <w:lang w:val="en-GB"/>
              </w:rPr>
              <w:t>Forum 25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>(4), 2-10.</w:t>
            </w: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2E1277">
              <w:rPr>
                <w:bCs/>
                <w:iCs/>
                <w:sz w:val="24"/>
                <w:szCs w:val="24"/>
                <w:lang w:val="en-GB"/>
              </w:rPr>
              <w:t>Medgyes</w:t>
            </w:r>
            <w:proofErr w:type="spellEnd"/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, P. (2001). When the teacher is a non-native speaker. In M. </w:t>
            </w:r>
            <w:proofErr w:type="spellStart"/>
            <w:r w:rsidRPr="002E1277">
              <w:rPr>
                <w:bCs/>
                <w:iCs/>
                <w:sz w:val="24"/>
                <w:szCs w:val="24"/>
                <w:lang w:val="en-GB"/>
              </w:rPr>
              <w:t>Celce</w:t>
            </w:r>
            <w:proofErr w:type="spellEnd"/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-Murcia (Ed.), </w:t>
            </w:r>
            <w:r w:rsidRPr="002E1277">
              <w:rPr>
                <w:bCs/>
                <w:i/>
                <w:iCs/>
                <w:sz w:val="24"/>
                <w:szCs w:val="24"/>
                <w:lang w:val="en-GB"/>
              </w:rPr>
              <w:t>Teaching English as a second or foreign language, Third edition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 (pp. 415-428). Boston: </w:t>
            </w:r>
            <w:proofErr w:type="spellStart"/>
            <w:r w:rsidRPr="002E1277">
              <w:rPr>
                <w:bCs/>
                <w:iCs/>
                <w:sz w:val="24"/>
                <w:szCs w:val="24"/>
                <w:lang w:val="en-GB"/>
              </w:rPr>
              <w:t>Heinle</w:t>
            </w:r>
            <w:proofErr w:type="spellEnd"/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2E1277">
              <w:rPr>
                <w:bCs/>
                <w:iCs/>
                <w:sz w:val="24"/>
                <w:szCs w:val="24"/>
                <w:lang w:val="en-GB"/>
              </w:rPr>
              <w:t>Heinle</w:t>
            </w:r>
            <w:proofErr w:type="spellEnd"/>
            <w:r w:rsidRPr="002E1277">
              <w:rPr>
                <w:bCs/>
                <w:iCs/>
                <w:sz w:val="24"/>
                <w:szCs w:val="24"/>
                <w:lang w:val="en-GB"/>
              </w:rPr>
              <w:t>.</w:t>
            </w:r>
          </w:p>
          <w:p w:rsidR="002E1277" w:rsidRPr="002E1277" w:rsidRDefault="002E1277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F334BE" w:rsidRPr="002E1277" w:rsidRDefault="00F334BE" w:rsidP="002E1277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Scrivener, J. (2011). </w:t>
            </w:r>
            <w:r w:rsidRPr="002E1277">
              <w:rPr>
                <w:bCs/>
                <w:i/>
                <w:iCs/>
                <w:sz w:val="24"/>
                <w:szCs w:val="24"/>
                <w:lang w:val="en-GB"/>
              </w:rPr>
              <w:t>Learning teaching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>. 3</w:t>
            </w:r>
            <w:r w:rsidRPr="002E1277">
              <w:rPr>
                <w:bCs/>
                <w:iCs/>
                <w:sz w:val="24"/>
                <w:szCs w:val="24"/>
                <w:vertAlign w:val="superscript"/>
                <w:lang w:val="en-GB"/>
              </w:rPr>
              <w:t>rd</w:t>
            </w:r>
            <w:r w:rsidRPr="002E1277">
              <w:rPr>
                <w:bCs/>
                <w:iCs/>
                <w:sz w:val="24"/>
                <w:szCs w:val="24"/>
                <w:lang w:val="en-GB"/>
              </w:rPr>
              <w:t xml:space="preserve"> edition. Oxford: Macmillan.</w:t>
            </w:r>
          </w:p>
          <w:p w:rsidR="004D5ED7" w:rsidRPr="002E1277" w:rsidRDefault="004D5ED7" w:rsidP="00810B34">
            <w:pPr>
              <w:rPr>
                <w:sz w:val="24"/>
                <w:lang w:val="en-GB"/>
              </w:rPr>
            </w:pPr>
          </w:p>
        </w:tc>
      </w:tr>
    </w:tbl>
    <w:p w:rsidR="008D105C" w:rsidRPr="002E1277" w:rsidRDefault="0066766B">
      <w:pPr>
        <w:rPr>
          <w:lang w:val="en-GB"/>
        </w:rPr>
      </w:pPr>
    </w:p>
    <w:sectPr w:rsidR="008D105C" w:rsidRPr="002E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307C3"/>
    <w:rsid w:val="00235F91"/>
    <w:rsid w:val="00263DE4"/>
    <w:rsid w:val="002E1277"/>
    <w:rsid w:val="004137BC"/>
    <w:rsid w:val="004D5ED7"/>
    <w:rsid w:val="0066766B"/>
    <w:rsid w:val="006C2C24"/>
    <w:rsid w:val="00830932"/>
    <w:rsid w:val="008317CB"/>
    <w:rsid w:val="009F6BD5"/>
    <w:rsid w:val="00AC5A58"/>
    <w:rsid w:val="00B14FD4"/>
    <w:rsid w:val="00D2334F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2018-11-08T07:45:00Z</dcterms:created>
  <dcterms:modified xsi:type="dcterms:W3CDTF">2018-11-08T07:45:00Z</dcterms:modified>
</cp:coreProperties>
</file>