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3F6544">
              <w:rPr>
                <w:bCs/>
                <w:sz w:val="24"/>
                <w:szCs w:val="24"/>
              </w:rPr>
              <w:t>Topics</w:t>
            </w:r>
            <w:proofErr w:type="spellEnd"/>
            <w:r w:rsidR="003F65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F6544">
              <w:rPr>
                <w:bCs/>
                <w:sz w:val="24"/>
                <w:szCs w:val="24"/>
              </w:rPr>
              <w:t>in</w:t>
            </w:r>
            <w:proofErr w:type="spellEnd"/>
            <w:r w:rsidR="003F6544">
              <w:rPr>
                <w:bCs/>
                <w:sz w:val="24"/>
                <w:szCs w:val="24"/>
              </w:rPr>
              <w:t xml:space="preserve"> American </w:t>
            </w:r>
            <w:proofErr w:type="spellStart"/>
            <w:r w:rsidR="003F6544">
              <w:rPr>
                <w:bCs/>
                <w:sz w:val="24"/>
                <w:szCs w:val="24"/>
              </w:rPr>
              <w:t>Literature</w:t>
            </w:r>
            <w:proofErr w:type="spellEnd"/>
            <w:r w:rsidR="003F6544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="003F6544">
              <w:rPr>
                <w:bCs/>
                <w:sz w:val="24"/>
                <w:szCs w:val="24"/>
              </w:rPr>
              <w:t>Multicultural</w:t>
            </w:r>
            <w:proofErr w:type="spellEnd"/>
            <w:r w:rsidR="003F65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F6544">
              <w:rPr>
                <w:bCs/>
                <w:sz w:val="24"/>
                <w:szCs w:val="24"/>
              </w:rPr>
              <w:t>identity</w:t>
            </w:r>
            <w:proofErr w:type="spellEnd"/>
            <w:r w:rsidR="0016255F">
              <w:rPr>
                <w:bCs/>
                <w:sz w:val="24"/>
                <w:szCs w:val="24"/>
              </w:rPr>
              <w:t xml:space="preserve"> </w:t>
            </w:r>
            <w:bookmarkEnd w:id="0"/>
            <w:r w:rsidR="0016255F">
              <w:rPr>
                <w:bCs/>
                <w:sz w:val="24"/>
                <w:szCs w:val="24"/>
              </w:rPr>
              <w:t>ERPB-BAN 3342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F6544">
              <w:rPr>
                <w:bCs/>
                <w:sz w:val="24"/>
              </w:rPr>
              <w:t>Katalin G. Kállay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F6544">
              <w:rPr>
                <w:bCs/>
                <w:sz w:val="24"/>
              </w:rPr>
              <w:t>kallay.gezane@kre.hu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654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654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F6544" w:rsidRDefault="003F6544" w:rsidP="00810B34">
            <w:pPr>
              <w:rPr>
                <w:b/>
                <w:sz w:val="24"/>
              </w:rPr>
            </w:pPr>
          </w:p>
          <w:p w:rsidR="004D5ED7" w:rsidRPr="003F6544" w:rsidRDefault="003F6544" w:rsidP="00810B34">
            <w:pPr>
              <w:ind w:left="283" w:right="293"/>
              <w:jc w:val="both"/>
              <w:rPr>
                <w:bCs/>
                <w:sz w:val="24"/>
                <w:szCs w:val="24"/>
                <w:lang w:val="en-US"/>
              </w:rPr>
            </w:pPr>
            <w:r w:rsidRPr="003F6544">
              <w:rPr>
                <w:bCs/>
                <w:sz w:val="24"/>
              </w:rPr>
              <w:t xml:space="preserve">The </w:t>
            </w:r>
            <w:proofErr w:type="spellStart"/>
            <w:r w:rsidRPr="003F6544">
              <w:rPr>
                <w:bCs/>
                <w:sz w:val="24"/>
              </w:rPr>
              <w:t>aim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course</w:t>
            </w:r>
            <w:proofErr w:type="spellEnd"/>
            <w:r w:rsidRPr="003F6544">
              <w:rPr>
                <w:bCs/>
                <w:sz w:val="24"/>
              </w:rPr>
              <w:t xml:space="preserve"> is </w:t>
            </w:r>
            <w:proofErr w:type="spellStart"/>
            <w:r w:rsidRPr="003F6544">
              <w:rPr>
                <w:bCs/>
                <w:sz w:val="24"/>
              </w:rPr>
              <w:t>to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acquaint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students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with</w:t>
            </w:r>
            <w:proofErr w:type="spellEnd"/>
            <w:r w:rsidRPr="003F6544">
              <w:rPr>
                <w:bCs/>
                <w:sz w:val="24"/>
              </w:rPr>
              <w:t xml:space="preserve"> American </w:t>
            </w:r>
            <w:proofErr w:type="spellStart"/>
            <w:r w:rsidRPr="003F6544">
              <w:rPr>
                <w:bCs/>
                <w:sz w:val="24"/>
              </w:rPr>
              <w:t>literary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voices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coming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3F6544">
              <w:rPr>
                <w:bCs/>
                <w:sz w:val="24"/>
              </w:rPr>
              <w:t>from</w:t>
            </w:r>
            <w:proofErr w:type="spellEnd"/>
            <w:r w:rsidRPr="003F6544">
              <w:rPr>
                <w:bCs/>
                <w:sz w:val="24"/>
              </w:rPr>
              <w:t xml:space="preserve">  </w:t>
            </w:r>
            <w:proofErr w:type="spellStart"/>
            <w:r w:rsidRPr="003F6544">
              <w:rPr>
                <w:bCs/>
                <w:sz w:val="24"/>
              </w:rPr>
              <w:t>different</w:t>
            </w:r>
            <w:proofErr w:type="spellEnd"/>
            <w:proofErr w:type="gram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traditions</w:t>
            </w:r>
            <w:proofErr w:type="spellEnd"/>
            <w:r w:rsidRPr="003F6544">
              <w:rPr>
                <w:bCs/>
                <w:sz w:val="24"/>
              </w:rPr>
              <w:t xml:space="preserve"> and </w:t>
            </w:r>
            <w:proofErr w:type="spellStart"/>
            <w:r w:rsidRPr="003F6544">
              <w:rPr>
                <w:bCs/>
                <w:sz w:val="24"/>
              </w:rPr>
              <w:t>backgrounds</w:t>
            </w:r>
            <w:proofErr w:type="spellEnd"/>
            <w:r w:rsidRPr="003F6544">
              <w:rPr>
                <w:bCs/>
                <w:sz w:val="24"/>
              </w:rPr>
              <w:t xml:space="preserve">, </w:t>
            </w:r>
            <w:proofErr w:type="spellStart"/>
            <w:r w:rsidRPr="003F6544">
              <w:rPr>
                <w:bCs/>
                <w:sz w:val="24"/>
              </w:rPr>
              <w:t>in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order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to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discuss</w:t>
            </w:r>
            <w:proofErr w:type="spellEnd"/>
            <w:r w:rsidRPr="003F6544">
              <w:rPr>
                <w:bCs/>
                <w:sz w:val="24"/>
              </w:rPr>
              <w:t xml:space="preserve"> and </w:t>
            </w:r>
            <w:proofErr w:type="spellStart"/>
            <w:r w:rsidRPr="003F6544">
              <w:rPr>
                <w:bCs/>
                <w:sz w:val="24"/>
              </w:rPr>
              <w:t>appreciate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variety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possibilities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literary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expression</w:t>
            </w:r>
            <w:proofErr w:type="spellEnd"/>
            <w:r w:rsidRPr="003F6544">
              <w:rPr>
                <w:bCs/>
                <w:sz w:val="24"/>
              </w:rPr>
              <w:t xml:space="preserve">, </w:t>
            </w:r>
            <w:proofErr w:type="spellStart"/>
            <w:r w:rsidRPr="003F6544">
              <w:rPr>
                <w:bCs/>
                <w:sz w:val="24"/>
              </w:rPr>
              <w:t>respecting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otherness</w:t>
            </w:r>
            <w:proofErr w:type="spellEnd"/>
            <w:r w:rsidRPr="003F6544">
              <w:rPr>
                <w:bCs/>
                <w:sz w:val="24"/>
              </w:rPr>
              <w:t xml:space="preserve"> and </w:t>
            </w:r>
            <w:proofErr w:type="spellStart"/>
            <w:r w:rsidRPr="003F6544">
              <w:rPr>
                <w:bCs/>
                <w:sz w:val="24"/>
              </w:rPr>
              <w:t>diversity</w:t>
            </w:r>
            <w:proofErr w:type="spellEnd"/>
            <w:r w:rsidRPr="003F6544">
              <w:rPr>
                <w:bCs/>
                <w:sz w:val="24"/>
              </w:rPr>
              <w:t>.</w:t>
            </w:r>
          </w:p>
          <w:p w:rsidR="004D5ED7" w:rsidRPr="00E236AE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Pr="003F6544" w:rsidRDefault="004D5ED7" w:rsidP="00810B34">
            <w:pPr>
              <w:rPr>
                <w:bCs/>
                <w:sz w:val="24"/>
              </w:rPr>
            </w:pPr>
            <w:proofErr w:type="spellStart"/>
            <w:r w:rsidRPr="003F6544">
              <w:rPr>
                <w:bCs/>
                <w:sz w:val="24"/>
              </w:rPr>
              <w:t>Bibliography</w:t>
            </w:r>
            <w:proofErr w:type="spellEnd"/>
            <w:r w:rsidRPr="003F6544">
              <w:rPr>
                <w:bCs/>
                <w:sz w:val="24"/>
              </w:rPr>
              <w:t>: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proofErr w:type="spellStart"/>
            <w:r w:rsidRPr="003F6544">
              <w:rPr>
                <w:bCs/>
                <w:sz w:val="24"/>
              </w:rPr>
              <w:t>Relevant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chapters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from</w:t>
            </w:r>
            <w:proofErr w:type="spellEnd"/>
            <w:r w:rsidRPr="003F6544">
              <w:rPr>
                <w:bCs/>
                <w:sz w:val="24"/>
              </w:rPr>
              <w:t>: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New </w:t>
            </w:r>
            <w:proofErr w:type="spellStart"/>
            <w:r w:rsidRPr="003F6544">
              <w:rPr>
                <w:bCs/>
                <w:sz w:val="24"/>
              </w:rPr>
              <w:t>Worlds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Literature</w:t>
            </w:r>
            <w:proofErr w:type="spellEnd"/>
            <w:r w:rsidRPr="003F6544">
              <w:rPr>
                <w:bCs/>
                <w:sz w:val="24"/>
              </w:rPr>
              <w:t xml:space="preserve">. </w:t>
            </w:r>
            <w:proofErr w:type="spellStart"/>
            <w:r w:rsidRPr="003F6544">
              <w:rPr>
                <w:bCs/>
                <w:sz w:val="24"/>
              </w:rPr>
              <w:t>Writings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from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America</w:t>
            </w:r>
            <w:proofErr w:type="spellEnd"/>
            <w:r w:rsidRPr="003F6544">
              <w:rPr>
                <w:bCs/>
                <w:sz w:val="24"/>
              </w:rPr>
              <w:t xml:space="preserve">’s </w:t>
            </w:r>
            <w:proofErr w:type="spellStart"/>
            <w:r w:rsidRPr="003F6544">
              <w:rPr>
                <w:bCs/>
                <w:sz w:val="24"/>
              </w:rPr>
              <w:t>Many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Cultures</w:t>
            </w:r>
            <w:proofErr w:type="spellEnd"/>
            <w:r w:rsidRPr="003F6544">
              <w:rPr>
                <w:bCs/>
                <w:sz w:val="24"/>
              </w:rPr>
              <w:t xml:space="preserve">. </w:t>
            </w:r>
            <w:proofErr w:type="spellStart"/>
            <w:r w:rsidRPr="003F6544">
              <w:rPr>
                <w:bCs/>
                <w:sz w:val="24"/>
              </w:rPr>
              <w:t>Ed</w:t>
            </w:r>
            <w:proofErr w:type="spellEnd"/>
            <w:r w:rsidRPr="003F6544">
              <w:rPr>
                <w:bCs/>
                <w:sz w:val="24"/>
              </w:rPr>
              <w:t xml:space="preserve">. </w:t>
            </w:r>
            <w:proofErr w:type="spellStart"/>
            <w:r w:rsidRPr="003F6544">
              <w:rPr>
                <w:bCs/>
                <w:sz w:val="24"/>
              </w:rPr>
              <w:t>J</w:t>
            </w:r>
            <w:proofErr w:type="gramStart"/>
            <w:r w:rsidRPr="003F6544">
              <w:rPr>
                <w:bCs/>
                <w:sz w:val="24"/>
              </w:rPr>
              <w:t>.Beaty</w:t>
            </w:r>
            <w:proofErr w:type="spellEnd"/>
            <w:proofErr w:type="gramEnd"/>
            <w:r w:rsidRPr="003F6544">
              <w:rPr>
                <w:bCs/>
                <w:sz w:val="24"/>
              </w:rPr>
              <w:t xml:space="preserve"> and J.P. Hunter, New York: W</w:t>
            </w:r>
            <w:proofErr w:type="gramStart"/>
            <w:r w:rsidRPr="003F6544">
              <w:rPr>
                <w:bCs/>
                <w:sz w:val="24"/>
              </w:rPr>
              <w:t>.W</w:t>
            </w:r>
            <w:proofErr w:type="gramEnd"/>
            <w:r w:rsidRPr="003F6544">
              <w:rPr>
                <w:bCs/>
                <w:sz w:val="24"/>
              </w:rPr>
              <w:t xml:space="preserve">. Norton </w:t>
            </w:r>
            <w:proofErr w:type="spellStart"/>
            <w:r w:rsidRPr="003F6544">
              <w:rPr>
                <w:bCs/>
                <w:sz w:val="24"/>
              </w:rPr>
              <w:t>&amp;Co</w:t>
            </w:r>
            <w:proofErr w:type="spellEnd"/>
            <w:r w:rsidRPr="003F6544">
              <w:rPr>
                <w:bCs/>
                <w:sz w:val="24"/>
              </w:rPr>
              <w:t>., 1994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proofErr w:type="spellStart"/>
            <w:r w:rsidRPr="003F6544">
              <w:rPr>
                <w:bCs/>
                <w:sz w:val="24"/>
              </w:rPr>
              <w:t>Kaleidoscope</w:t>
            </w:r>
            <w:proofErr w:type="spellEnd"/>
            <w:r w:rsidRPr="003F6544">
              <w:rPr>
                <w:bCs/>
                <w:sz w:val="24"/>
              </w:rPr>
              <w:t xml:space="preserve">. </w:t>
            </w:r>
            <w:proofErr w:type="spellStart"/>
            <w:r w:rsidRPr="003F6544">
              <w:rPr>
                <w:bCs/>
                <w:sz w:val="24"/>
              </w:rPr>
              <w:t>Stories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American </w:t>
            </w:r>
            <w:proofErr w:type="spellStart"/>
            <w:r w:rsidRPr="003F6544">
              <w:rPr>
                <w:bCs/>
                <w:sz w:val="24"/>
              </w:rPr>
              <w:t>Experience</w:t>
            </w:r>
            <w:proofErr w:type="spellEnd"/>
            <w:r w:rsidRPr="003F6544">
              <w:rPr>
                <w:bCs/>
                <w:sz w:val="24"/>
              </w:rPr>
              <w:t xml:space="preserve">. </w:t>
            </w:r>
            <w:proofErr w:type="spellStart"/>
            <w:r w:rsidRPr="003F6544">
              <w:rPr>
                <w:bCs/>
                <w:sz w:val="24"/>
              </w:rPr>
              <w:t>Ed</w:t>
            </w:r>
            <w:proofErr w:type="spellEnd"/>
            <w:r w:rsidRPr="003F6544">
              <w:rPr>
                <w:bCs/>
                <w:sz w:val="24"/>
              </w:rPr>
              <w:t xml:space="preserve">. Barbara Perkins and George Perkins, Oxford: </w:t>
            </w:r>
            <w:proofErr w:type="spellStart"/>
            <w:r w:rsidRPr="003F6544">
              <w:rPr>
                <w:bCs/>
                <w:sz w:val="24"/>
              </w:rPr>
              <w:t>Oxford</w:t>
            </w:r>
            <w:proofErr w:type="spellEnd"/>
            <w:r w:rsidRPr="003F6544">
              <w:rPr>
                <w:bCs/>
                <w:sz w:val="24"/>
              </w:rPr>
              <w:t xml:space="preserve"> UP, 1993.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List of </w:t>
            </w:r>
            <w:proofErr w:type="spellStart"/>
            <w:r w:rsidRPr="003F6544">
              <w:rPr>
                <w:bCs/>
                <w:sz w:val="24"/>
              </w:rPr>
              <w:t>works</w:t>
            </w:r>
            <w:proofErr w:type="spellEnd"/>
            <w:r w:rsidRPr="003F6544">
              <w:rPr>
                <w:bCs/>
                <w:sz w:val="24"/>
              </w:rPr>
              <w:t>: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>Ernest Hemingway: ’</w:t>
            </w:r>
            <w:proofErr w:type="spellStart"/>
            <w:r w:rsidRPr="003F6544">
              <w:rPr>
                <w:bCs/>
                <w:sz w:val="24"/>
              </w:rPr>
              <w:t>Indian</w:t>
            </w:r>
            <w:proofErr w:type="spellEnd"/>
            <w:r w:rsidRPr="003F6544">
              <w:rPr>
                <w:bCs/>
                <w:sz w:val="24"/>
              </w:rPr>
              <w:t xml:space="preserve"> Camp’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 Washington Irving: ’</w:t>
            </w:r>
            <w:proofErr w:type="spellStart"/>
            <w:r w:rsidRPr="003F6544">
              <w:rPr>
                <w:bCs/>
                <w:sz w:val="24"/>
              </w:rPr>
              <w:t>Rip</w:t>
            </w:r>
            <w:proofErr w:type="spellEnd"/>
            <w:r w:rsidRPr="003F6544">
              <w:rPr>
                <w:bCs/>
                <w:sz w:val="24"/>
              </w:rPr>
              <w:t xml:space="preserve"> Van </w:t>
            </w:r>
            <w:proofErr w:type="spellStart"/>
            <w:r w:rsidRPr="003F6544">
              <w:rPr>
                <w:bCs/>
                <w:sz w:val="24"/>
              </w:rPr>
              <w:t>Winkle</w:t>
            </w:r>
            <w:proofErr w:type="spellEnd"/>
            <w:r w:rsidRPr="003F6544">
              <w:rPr>
                <w:bCs/>
                <w:sz w:val="24"/>
              </w:rPr>
              <w:t xml:space="preserve">’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proofErr w:type="spellStart"/>
            <w:r w:rsidRPr="003F6544">
              <w:rPr>
                <w:bCs/>
                <w:sz w:val="24"/>
              </w:rPr>
              <w:t>Leslie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Marmon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Silko</w:t>
            </w:r>
            <w:proofErr w:type="spellEnd"/>
            <w:r w:rsidRPr="003F6544">
              <w:rPr>
                <w:bCs/>
                <w:sz w:val="24"/>
              </w:rPr>
              <w:t>: ’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Man </w:t>
            </w:r>
            <w:proofErr w:type="spellStart"/>
            <w:r w:rsidRPr="003F6544">
              <w:rPr>
                <w:bCs/>
                <w:sz w:val="24"/>
              </w:rPr>
              <w:t>to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Send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Rain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Clouds</w:t>
            </w:r>
            <w:proofErr w:type="spellEnd"/>
            <w:r w:rsidRPr="003F6544">
              <w:rPr>
                <w:bCs/>
                <w:sz w:val="24"/>
              </w:rPr>
              <w:t>’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 William Faulkner: ’</w:t>
            </w:r>
            <w:proofErr w:type="spellStart"/>
            <w:r w:rsidRPr="003F6544">
              <w:rPr>
                <w:bCs/>
                <w:sz w:val="24"/>
              </w:rPr>
              <w:t>That</w:t>
            </w:r>
            <w:proofErr w:type="spellEnd"/>
            <w:r w:rsidRPr="003F6544">
              <w:rPr>
                <w:bCs/>
                <w:sz w:val="24"/>
              </w:rPr>
              <w:t xml:space="preserve"> Evening Sun’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>Richard Wright: ’</w:t>
            </w:r>
            <w:proofErr w:type="spellStart"/>
            <w:r w:rsidRPr="003F6544">
              <w:rPr>
                <w:bCs/>
                <w:sz w:val="24"/>
              </w:rPr>
              <w:t>Long</w:t>
            </w:r>
            <w:proofErr w:type="spellEnd"/>
            <w:r w:rsidRPr="003F6544">
              <w:rPr>
                <w:bCs/>
                <w:sz w:val="24"/>
              </w:rPr>
              <w:t xml:space="preserve"> Black Song’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Bernard </w:t>
            </w:r>
            <w:proofErr w:type="spellStart"/>
            <w:r w:rsidRPr="003F6544">
              <w:rPr>
                <w:bCs/>
                <w:sz w:val="24"/>
              </w:rPr>
              <w:t>Malamud</w:t>
            </w:r>
            <w:proofErr w:type="spellEnd"/>
            <w:r w:rsidRPr="003F6544">
              <w:rPr>
                <w:bCs/>
                <w:sz w:val="24"/>
              </w:rPr>
              <w:t>: ’</w:t>
            </w:r>
            <w:proofErr w:type="spellStart"/>
            <w:r w:rsidRPr="003F6544">
              <w:rPr>
                <w:bCs/>
                <w:sz w:val="24"/>
              </w:rPr>
              <w:t>Angel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Levine</w:t>
            </w:r>
            <w:proofErr w:type="spellEnd"/>
            <w:r w:rsidRPr="003F6544">
              <w:rPr>
                <w:bCs/>
                <w:sz w:val="24"/>
              </w:rPr>
              <w:t xml:space="preserve">’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>Alice Walker: ’</w:t>
            </w:r>
            <w:proofErr w:type="spellStart"/>
            <w:r w:rsidRPr="003F6544">
              <w:rPr>
                <w:bCs/>
                <w:sz w:val="24"/>
              </w:rPr>
              <w:t>Everyday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Use</w:t>
            </w:r>
            <w:proofErr w:type="spellEnd"/>
            <w:r w:rsidRPr="003F6544">
              <w:rPr>
                <w:bCs/>
                <w:sz w:val="24"/>
              </w:rPr>
              <w:t xml:space="preserve">’ 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proofErr w:type="spellStart"/>
            <w:r w:rsidRPr="003F6544">
              <w:rPr>
                <w:bCs/>
                <w:sz w:val="24"/>
              </w:rPr>
              <w:t>Bret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Harte</w:t>
            </w:r>
            <w:proofErr w:type="spellEnd"/>
            <w:r w:rsidRPr="003F6544">
              <w:rPr>
                <w:bCs/>
                <w:sz w:val="24"/>
              </w:rPr>
              <w:t>: ’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Luck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Roaring</w:t>
            </w:r>
            <w:proofErr w:type="spellEnd"/>
            <w:r w:rsidRPr="003F6544">
              <w:rPr>
                <w:bCs/>
                <w:sz w:val="24"/>
              </w:rPr>
              <w:t xml:space="preserve"> Camp’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Stephen </w:t>
            </w:r>
            <w:proofErr w:type="spellStart"/>
            <w:r w:rsidRPr="003F6544">
              <w:rPr>
                <w:bCs/>
                <w:sz w:val="24"/>
              </w:rPr>
              <w:t>Crane</w:t>
            </w:r>
            <w:proofErr w:type="spellEnd"/>
            <w:r w:rsidRPr="003F6544">
              <w:rPr>
                <w:bCs/>
                <w:sz w:val="24"/>
              </w:rPr>
              <w:t>: ’</w:t>
            </w:r>
            <w:proofErr w:type="spellStart"/>
            <w:r w:rsidRPr="003F6544">
              <w:rPr>
                <w:bCs/>
                <w:sz w:val="24"/>
              </w:rPr>
              <w:t>The</w:t>
            </w:r>
            <w:proofErr w:type="spellEnd"/>
            <w:r w:rsidRPr="003F6544">
              <w:rPr>
                <w:bCs/>
                <w:sz w:val="24"/>
              </w:rPr>
              <w:t xml:space="preserve"> </w:t>
            </w:r>
            <w:proofErr w:type="spellStart"/>
            <w:r w:rsidRPr="003F6544">
              <w:rPr>
                <w:bCs/>
                <w:sz w:val="24"/>
              </w:rPr>
              <w:t>Blue</w:t>
            </w:r>
            <w:proofErr w:type="spellEnd"/>
            <w:r w:rsidRPr="003F6544">
              <w:rPr>
                <w:bCs/>
                <w:sz w:val="24"/>
              </w:rPr>
              <w:t xml:space="preserve"> Hotel’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Richard </w:t>
            </w:r>
            <w:proofErr w:type="spellStart"/>
            <w:r w:rsidRPr="003F6544">
              <w:rPr>
                <w:bCs/>
                <w:sz w:val="24"/>
              </w:rPr>
              <w:t>Dokey</w:t>
            </w:r>
            <w:proofErr w:type="spellEnd"/>
            <w:r w:rsidRPr="003F6544">
              <w:rPr>
                <w:bCs/>
                <w:sz w:val="24"/>
              </w:rPr>
              <w:t>: ’</w:t>
            </w:r>
            <w:proofErr w:type="spellStart"/>
            <w:r w:rsidRPr="003F6544">
              <w:rPr>
                <w:bCs/>
                <w:sz w:val="24"/>
              </w:rPr>
              <w:t>Sánchez</w:t>
            </w:r>
            <w:proofErr w:type="spellEnd"/>
            <w:r w:rsidRPr="003F6544">
              <w:rPr>
                <w:bCs/>
                <w:sz w:val="24"/>
              </w:rPr>
              <w:t>’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proofErr w:type="spellStart"/>
            <w:r w:rsidRPr="003F6544">
              <w:rPr>
                <w:bCs/>
                <w:sz w:val="24"/>
              </w:rPr>
              <w:t>Amy</w:t>
            </w:r>
            <w:proofErr w:type="spellEnd"/>
            <w:r w:rsidRPr="003F6544">
              <w:rPr>
                <w:bCs/>
                <w:sz w:val="24"/>
              </w:rPr>
              <w:t xml:space="preserve"> Tan: ’A </w:t>
            </w:r>
            <w:proofErr w:type="spellStart"/>
            <w:r w:rsidRPr="003F6544">
              <w:rPr>
                <w:bCs/>
                <w:sz w:val="24"/>
              </w:rPr>
              <w:t>Pair</w:t>
            </w:r>
            <w:proofErr w:type="spellEnd"/>
            <w:r w:rsidRPr="003F6544">
              <w:rPr>
                <w:bCs/>
                <w:sz w:val="24"/>
              </w:rPr>
              <w:t xml:space="preserve"> of </w:t>
            </w:r>
            <w:proofErr w:type="spellStart"/>
            <w:r w:rsidRPr="003F6544">
              <w:rPr>
                <w:bCs/>
                <w:sz w:val="24"/>
              </w:rPr>
              <w:t>Tickets</w:t>
            </w:r>
            <w:proofErr w:type="spellEnd"/>
            <w:r w:rsidRPr="003F6544">
              <w:rPr>
                <w:bCs/>
                <w:sz w:val="24"/>
              </w:rPr>
              <w:t xml:space="preserve">’ </w:t>
            </w:r>
          </w:p>
          <w:p w:rsidR="003F6544" w:rsidRPr="003F6544" w:rsidRDefault="003F6544" w:rsidP="003F6544">
            <w:pPr>
              <w:rPr>
                <w:bCs/>
                <w:sz w:val="24"/>
              </w:rPr>
            </w:pPr>
            <w:r w:rsidRPr="003F6544">
              <w:rPr>
                <w:bCs/>
                <w:sz w:val="24"/>
              </w:rPr>
              <w:t xml:space="preserve">Vladimir </w:t>
            </w:r>
            <w:proofErr w:type="spellStart"/>
            <w:r w:rsidRPr="003F6544">
              <w:rPr>
                <w:bCs/>
                <w:sz w:val="24"/>
              </w:rPr>
              <w:t>Nabokov</w:t>
            </w:r>
            <w:proofErr w:type="spellEnd"/>
            <w:r w:rsidRPr="003F6544">
              <w:rPr>
                <w:bCs/>
                <w:sz w:val="24"/>
              </w:rPr>
              <w:t>: ’</w:t>
            </w:r>
            <w:proofErr w:type="spellStart"/>
            <w:r w:rsidRPr="003F6544">
              <w:rPr>
                <w:bCs/>
                <w:sz w:val="24"/>
              </w:rPr>
              <w:t>Signs</w:t>
            </w:r>
            <w:proofErr w:type="spellEnd"/>
            <w:r w:rsidRPr="003F6544">
              <w:rPr>
                <w:bCs/>
                <w:sz w:val="24"/>
              </w:rPr>
              <w:t xml:space="preserve"> and </w:t>
            </w:r>
            <w:proofErr w:type="spellStart"/>
            <w:r w:rsidRPr="003F6544">
              <w:rPr>
                <w:bCs/>
                <w:sz w:val="24"/>
              </w:rPr>
              <w:t>Symbols</w:t>
            </w:r>
            <w:proofErr w:type="spellEnd"/>
            <w:r w:rsidRPr="003F6544">
              <w:rPr>
                <w:bCs/>
                <w:sz w:val="24"/>
              </w:rPr>
              <w:t>’</w:t>
            </w:r>
          </w:p>
          <w:p w:rsidR="004D5ED7" w:rsidRPr="003F6544" w:rsidRDefault="004D5ED7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16255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6255F"/>
    <w:rsid w:val="003F6544"/>
    <w:rsid w:val="004D5ED7"/>
    <w:rsid w:val="006C2C24"/>
    <w:rsid w:val="00B14FD4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2018-10-15T06:44:00Z</dcterms:created>
  <dcterms:modified xsi:type="dcterms:W3CDTF">2018-10-15T06:44:00Z</dcterms:modified>
</cp:coreProperties>
</file>