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341101" w:rsidRPr="002E42CC" w:rsidTr="00341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101" w:rsidRDefault="00341101" w:rsidP="00576528">
            <w:pPr>
              <w:pStyle w:val="Cmsor2"/>
              <w:rPr>
                <w:caps/>
              </w:rPr>
            </w:pPr>
            <w:proofErr w:type="spellStart"/>
            <w:r w:rsidRPr="003716B5">
              <w:rPr>
                <w:bCs w:val="0"/>
                <w:i/>
              </w:rPr>
              <w:t>Title</w:t>
            </w:r>
            <w:proofErr w:type="spellEnd"/>
            <w:r w:rsidRPr="003716B5">
              <w:rPr>
                <w:bCs w:val="0"/>
                <w:i/>
              </w:rPr>
              <w:t xml:space="preserve"> and </w:t>
            </w:r>
            <w:proofErr w:type="spellStart"/>
            <w:r w:rsidRPr="003716B5">
              <w:rPr>
                <w:bCs w:val="0"/>
                <w:i/>
              </w:rPr>
              <w:t>Code</w:t>
            </w:r>
            <w:proofErr w:type="spellEnd"/>
            <w:r w:rsidRPr="003716B5">
              <w:rPr>
                <w:bCs w:val="0"/>
                <w:i/>
              </w:rPr>
              <w:t xml:space="preserve"> of </w:t>
            </w:r>
            <w:proofErr w:type="spellStart"/>
            <w:r w:rsidRPr="003716B5">
              <w:rPr>
                <w:bCs w:val="0"/>
                <w:i/>
              </w:rPr>
              <w:t>Course</w:t>
            </w:r>
            <w:proofErr w:type="spellEnd"/>
            <w:r w:rsidRPr="000C431E">
              <w:rPr>
                <w:bCs w:val="0"/>
              </w:rPr>
              <w:t>:</w:t>
            </w:r>
            <w:r>
              <w:rPr>
                <w:caps/>
              </w:rPr>
              <w:t xml:space="preserve"> </w:t>
            </w:r>
          </w:p>
          <w:p w:rsidR="00341101" w:rsidRDefault="00341101" w:rsidP="00576528">
            <w:pPr>
              <w:pStyle w:val="Cmsor2"/>
              <w:rPr>
                <w:caps/>
              </w:rPr>
            </w:pPr>
          </w:p>
          <w:p w:rsidR="00341101" w:rsidRPr="00A736C5" w:rsidRDefault="00341101" w:rsidP="00576528">
            <w:pPr>
              <w:pStyle w:val="Cmsor2"/>
              <w:rPr>
                <w:caps/>
              </w:rPr>
            </w:pPr>
            <w:r>
              <w:rPr>
                <w:caps/>
              </w:rPr>
              <w:t xml:space="preserve">BHL </w:t>
            </w:r>
            <w:proofErr w:type="gramStart"/>
            <w:r>
              <w:rPr>
                <w:caps/>
              </w:rPr>
              <w:t xml:space="preserve">4110  </w:t>
            </w:r>
            <w:bookmarkStart w:id="0" w:name="_GoBack"/>
            <w:r>
              <w:rPr>
                <w:caps/>
              </w:rPr>
              <w:t>ZAKELIJKE</w:t>
            </w:r>
            <w:proofErr w:type="gramEnd"/>
            <w:r>
              <w:rPr>
                <w:caps/>
              </w:rPr>
              <w:t xml:space="preserve"> COMMUNICATIE</w:t>
            </w:r>
            <w:bookmarkEnd w:id="0"/>
          </w:p>
          <w:p w:rsidR="00341101" w:rsidRPr="002E42CC" w:rsidRDefault="00341101" w:rsidP="00576528">
            <w:pPr>
              <w:pStyle w:val="Cmsor2"/>
              <w:rPr>
                <w:b w:val="0"/>
                <w:caps/>
                <w:sz w:val="22"/>
                <w:szCs w:val="22"/>
              </w:rPr>
            </w:pPr>
          </w:p>
        </w:tc>
      </w:tr>
      <w:tr w:rsidR="00341101" w:rsidTr="00341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101" w:rsidRDefault="00341101" w:rsidP="00576528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>
              <w:rPr>
                <w:bCs/>
                <w:sz w:val="24"/>
              </w:rPr>
              <w:t>Zelenka</w:t>
            </w:r>
            <w:proofErr w:type="spellEnd"/>
            <w:r>
              <w:rPr>
                <w:bCs/>
                <w:sz w:val="24"/>
              </w:rPr>
              <w:t xml:space="preserve"> Eszter</w:t>
            </w:r>
          </w:p>
        </w:tc>
      </w:tr>
      <w:tr w:rsidR="00341101" w:rsidTr="00341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101" w:rsidRDefault="00341101" w:rsidP="00576528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5" w:history="1">
              <w:r w:rsidRPr="001A7DCD">
                <w:rPr>
                  <w:rStyle w:val="Hiperhivatkozs"/>
                  <w:bCs/>
                </w:rPr>
                <w:t>zelenka.eszter@gmail.com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2160"/>
              <w:gridCol w:w="2582"/>
            </w:tblGrid>
            <w:tr w:rsidR="00341101" w:rsidRPr="00AB23C5" w:rsidTr="00576528">
              <w:tc>
                <w:tcPr>
                  <w:tcW w:w="2154" w:type="dxa"/>
                  <w:shd w:val="clear" w:color="auto" w:fill="auto"/>
                </w:tcPr>
                <w:p w:rsidR="00341101" w:rsidRPr="00AB23C5" w:rsidRDefault="00341101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341101" w:rsidRPr="00AB23C5" w:rsidRDefault="00341101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341101" w:rsidRPr="00AB23C5" w:rsidRDefault="00341101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Week</w:t>
                  </w:r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160" w:type="dxa"/>
                  <w:shd w:val="clear" w:color="auto" w:fill="auto"/>
                </w:tcPr>
                <w:p w:rsidR="00341101" w:rsidRPr="00AB23C5" w:rsidRDefault="00341101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341101" w:rsidRPr="00AB23C5" w:rsidRDefault="00341101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/ </w:t>
                  </w:r>
                  <w:proofErr w:type="spellStart"/>
                  <w:r w:rsidRPr="00C81466">
                    <w:rPr>
                      <w:b/>
                      <w:bCs/>
                      <w:sz w:val="24"/>
                      <w:u w:val="single"/>
                    </w:rPr>
                    <w:t>Seminar</w:t>
                  </w:r>
                  <w:proofErr w:type="spellEnd"/>
                </w:p>
              </w:tc>
              <w:tc>
                <w:tcPr>
                  <w:tcW w:w="2582" w:type="dxa"/>
                  <w:shd w:val="clear" w:color="auto" w:fill="auto"/>
                </w:tcPr>
                <w:p w:rsidR="00341101" w:rsidRPr="00AB23C5" w:rsidRDefault="00341101" w:rsidP="00576528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341101" w:rsidRPr="00402A5B" w:rsidRDefault="00341101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u w:val="single"/>
                    </w:rPr>
                  </w:pPr>
                  <w:proofErr w:type="spellStart"/>
                  <w:r w:rsidRPr="00924C12"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 w:rsidRPr="00924C12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924C12"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/ </w:t>
                  </w:r>
                  <w:r w:rsidRPr="00402A5B">
                    <w:rPr>
                      <w:b/>
                      <w:bCs/>
                      <w:sz w:val="24"/>
                      <w:u w:val="single"/>
                    </w:rPr>
                    <w:t xml:space="preserve">End-Term </w:t>
                  </w:r>
                  <w:proofErr w:type="spellStart"/>
                  <w:r w:rsidRPr="00402A5B">
                    <w:rPr>
                      <w:b/>
                      <w:bCs/>
                      <w:sz w:val="24"/>
                      <w:u w:val="single"/>
                    </w:rPr>
                    <w:t>Paper</w:t>
                  </w:r>
                  <w:proofErr w:type="spellEnd"/>
                  <w:r w:rsidRPr="00402A5B">
                    <w:rPr>
                      <w:b/>
                      <w:bCs/>
                      <w:sz w:val="24"/>
                      <w:u w:val="single"/>
                    </w:rPr>
                    <w:t>/</w:t>
                  </w:r>
                </w:p>
                <w:p w:rsidR="00341101" w:rsidRPr="00402A5B" w:rsidRDefault="00341101" w:rsidP="00576528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402A5B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402A5B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402A5B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</w:p>
              </w:tc>
            </w:tr>
          </w:tbl>
          <w:p w:rsidR="00341101" w:rsidRDefault="00341101" w:rsidP="00576528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341101" w:rsidRPr="00665FC2" w:rsidTr="00341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6"/>
        </w:trPr>
        <w:tc>
          <w:tcPr>
            <w:tcW w:w="9081" w:type="dxa"/>
          </w:tcPr>
          <w:p w:rsidR="00341101" w:rsidRDefault="00341101" w:rsidP="005765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1101" w:rsidRDefault="00341101" w:rsidP="00576528">
            <w:pPr>
              <w:rPr>
                <w:b/>
                <w:sz w:val="24"/>
              </w:rPr>
            </w:pPr>
          </w:p>
          <w:p w:rsidR="00341101" w:rsidRDefault="00341101" w:rsidP="00576528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716B5">
              <w:rPr>
                <w:bCs/>
                <w:sz w:val="24"/>
                <w:szCs w:val="24"/>
              </w:rPr>
              <w:t xml:space="preserve">The </w:t>
            </w:r>
            <w:proofErr w:type="spellStart"/>
            <w:r w:rsidRPr="003716B5">
              <w:rPr>
                <w:bCs/>
                <w:sz w:val="24"/>
                <w:szCs w:val="24"/>
              </w:rPr>
              <w:t>aim</w:t>
            </w:r>
            <w:proofErr w:type="spellEnd"/>
            <w:r w:rsidRPr="003716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bCs/>
                <w:sz w:val="24"/>
                <w:szCs w:val="24"/>
              </w:rPr>
              <w:t>t</w:t>
            </w:r>
            <w:r w:rsidRPr="00665FC2">
              <w:rPr>
                <w:bCs/>
                <w:sz w:val="24"/>
                <w:szCs w:val="24"/>
              </w:rPr>
              <w:t>his</w:t>
            </w:r>
            <w:proofErr w:type="spellEnd"/>
            <w:r w:rsidRPr="00665F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5FC2">
              <w:rPr>
                <w:bCs/>
                <w:sz w:val="24"/>
                <w:szCs w:val="24"/>
              </w:rPr>
              <w:t>course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  <w:p w:rsidR="00341101" w:rsidRPr="004E3EFD" w:rsidRDefault="00341101" w:rsidP="00576528">
            <w:pPr>
              <w:spacing w:after="12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dit</w:t>
            </w:r>
            <w:proofErr w:type="spellEnd"/>
            <w:r>
              <w:rPr>
                <w:bCs/>
                <w:sz w:val="24"/>
                <w:szCs w:val="24"/>
              </w:rPr>
              <w:t xml:space="preserve"> college </w:t>
            </w:r>
            <w:proofErr w:type="spellStart"/>
            <w:r>
              <w:rPr>
                <w:bCs/>
                <w:sz w:val="24"/>
                <w:szCs w:val="24"/>
              </w:rPr>
              <w:t>worden</w:t>
            </w:r>
            <w:proofErr w:type="spellEnd"/>
            <w:r>
              <w:rPr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Cs/>
                <w:sz w:val="24"/>
                <w:szCs w:val="24"/>
              </w:rPr>
              <w:t>zakelijke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aspecten</w:t>
            </w:r>
            <w:proofErr w:type="spellEnd"/>
            <w:r>
              <w:rPr>
                <w:bCs/>
                <w:sz w:val="24"/>
                <w:szCs w:val="24"/>
              </w:rPr>
              <w:t xml:space="preserve"> van </w:t>
            </w:r>
            <w:proofErr w:type="spellStart"/>
            <w:r>
              <w:rPr>
                <w:bCs/>
                <w:sz w:val="24"/>
                <w:szCs w:val="24"/>
              </w:rPr>
              <w:t>communicatie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behandeld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Aan</w:t>
            </w:r>
            <w:proofErr w:type="spellEnd"/>
            <w:r>
              <w:rPr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Cs/>
                <w:sz w:val="24"/>
                <w:szCs w:val="24"/>
              </w:rPr>
              <w:t>hand</w:t>
            </w:r>
            <w:proofErr w:type="spellEnd"/>
            <w:r>
              <w:rPr>
                <w:bCs/>
                <w:sz w:val="24"/>
                <w:szCs w:val="24"/>
              </w:rPr>
              <w:t xml:space="preserve"> van </w:t>
            </w:r>
            <w:proofErr w:type="spellStart"/>
            <w:r>
              <w:rPr>
                <w:bCs/>
                <w:sz w:val="24"/>
                <w:szCs w:val="24"/>
              </w:rPr>
              <w:t>reële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situaties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kunnen</w:t>
            </w:r>
            <w:proofErr w:type="spellEnd"/>
            <w:r>
              <w:rPr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Cs/>
                <w:sz w:val="24"/>
                <w:szCs w:val="24"/>
              </w:rPr>
              <w:t>studenten</w:t>
            </w:r>
            <w:proofErr w:type="spellEnd"/>
            <w:r>
              <w:rPr>
                <w:bCs/>
                <w:sz w:val="24"/>
                <w:szCs w:val="24"/>
              </w:rPr>
              <w:t xml:space="preserve"> hun </w:t>
            </w:r>
            <w:proofErr w:type="spellStart"/>
            <w:r>
              <w:rPr>
                <w:bCs/>
                <w:sz w:val="24"/>
                <w:szCs w:val="24"/>
              </w:rPr>
              <w:t>schriftelijke</w:t>
            </w:r>
            <w:proofErr w:type="spellEnd"/>
            <w:r>
              <w:rPr>
                <w:bCs/>
                <w:sz w:val="24"/>
                <w:szCs w:val="24"/>
              </w:rPr>
              <w:t xml:space="preserve"> en </w:t>
            </w:r>
            <w:proofErr w:type="spellStart"/>
            <w:r>
              <w:rPr>
                <w:bCs/>
                <w:sz w:val="24"/>
                <w:szCs w:val="24"/>
              </w:rPr>
              <w:t>mondelinge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vaardigheden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ontwikkelen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Cv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schrijven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solliciteren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deelnemen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vergaderingen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presentaties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houden</w:t>
            </w:r>
            <w:proofErr w:type="spellEnd"/>
            <w:r>
              <w:rPr>
                <w:bCs/>
                <w:sz w:val="24"/>
                <w:szCs w:val="24"/>
              </w:rPr>
              <w:t xml:space="preserve">, etc. </w:t>
            </w:r>
            <w:proofErr w:type="spellStart"/>
            <w:r>
              <w:rPr>
                <w:bCs/>
                <w:sz w:val="24"/>
                <w:szCs w:val="24"/>
              </w:rPr>
              <w:t>komen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aan</w:t>
            </w:r>
            <w:proofErr w:type="spellEnd"/>
            <w:r>
              <w:rPr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Cs/>
                <w:sz w:val="24"/>
                <w:szCs w:val="24"/>
              </w:rPr>
              <w:t>orde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341101" w:rsidRDefault="00341101" w:rsidP="00576528">
            <w:pPr>
              <w:rPr>
                <w:sz w:val="22"/>
                <w:szCs w:val="22"/>
              </w:rPr>
            </w:pPr>
            <w:proofErr w:type="spellStart"/>
            <w:r w:rsidRPr="00AA205F">
              <w:rPr>
                <w:sz w:val="22"/>
                <w:szCs w:val="22"/>
              </w:rPr>
              <w:t>Evaluatie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Deelname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de les is </w:t>
            </w:r>
            <w:proofErr w:type="spellStart"/>
            <w:r>
              <w:rPr>
                <w:sz w:val="22"/>
                <w:szCs w:val="22"/>
              </w:rPr>
              <w:t>essentieel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Regelmatig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moeten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studenten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schriftelijk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huiswerk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inleveren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Het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wordt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afgesloten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schriftelijke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toets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1101" w:rsidRDefault="00341101" w:rsidP="00576528">
            <w:pPr>
              <w:ind w:left="360"/>
              <w:jc w:val="both"/>
              <w:rPr>
                <w:sz w:val="22"/>
                <w:szCs w:val="22"/>
              </w:rPr>
            </w:pPr>
          </w:p>
          <w:p w:rsidR="00341101" w:rsidRPr="00665FC2" w:rsidRDefault="00341101" w:rsidP="00576528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341101" w:rsidRPr="002E42CC" w:rsidTr="00341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9081" w:type="dxa"/>
          </w:tcPr>
          <w:p w:rsidR="00341101" w:rsidRDefault="00341101" w:rsidP="0057652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41101" w:rsidRDefault="00341101" w:rsidP="00576528">
            <w:pPr>
              <w:rPr>
                <w:b/>
                <w:sz w:val="24"/>
              </w:rPr>
            </w:pPr>
          </w:p>
          <w:p w:rsidR="00341101" w:rsidRPr="00D25C0B" w:rsidRDefault="00341101" w:rsidP="00576528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341101" w:rsidRDefault="00341101" w:rsidP="00576528">
            <w:pPr>
              <w:numPr>
                <w:ilvl w:val="0"/>
                <w:numId w:val="1"/>
              </w:numPr>
              <w:tabs>
                <w:tab w:val="clear" w:pos="1080"/>
              </w:tabs>
              <w:ind w:left="720"/>
              <w:rPr>
                <w:sz w:val="22"/>
                <w:szCs w:val="22"/>
              </w:rPr>
            </w:pPr>
            <w:proofErr w:type="spellStart"/>
            <w:r w:rsidRPr="00D25C0B">
              <w:rPr>
                <w:sz w:val="22"/>
                <w:szCs w:val="22"/>
              </w:rPr>
              <w:t>Baalen</w:t>
            </w:r>
            <w:proofErr w:type="spellEnd"/>
            <w:r w:rsidRPr="00D25C0B">
              <w:rPr>
                <w:sz w:val="22"/>
                <w:szCs w:val="22"/>
              </w:rPr>
              <w:t xml:space="preserve">, </w:t>
            </w:r>
            <w:proofErr w:type="spellStart"/>
            <w:r w:rsidRPr="00D25C0B">
              <w:rPr>
                <w:sz w:val="22"/>
                <w:szCs w:val="22"/>
              </w:rPr>
              <w:t>Christine</w:t>
            </w:r>
            <w:proofErr w:type="spellEnd"/>
            <w:r w:rsidRPr="00D25C0B">
              <w:rPr>
                <w:sz w:val="22"/>
                <w:szCs w:val="22"/>
              </w:rPr>
              <w:t xml:space="preserve"> van: </w:t>
            </w:r>
            <w:proofErr w:type="spellStart"/>
            <w:r w:rsidRPr="00D25C0B">
              <w:rPr>
                <w:i/>
                <w:sz w:val="22"/>
                <w:szCs w:val="22"/>
              </w:rPr>
              <w:t>Taal</w:t>
            </w:r>
            <w:proofErr w:type="spellEnd"/>
            <w:r w:rsidRPr="00D25C0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5C0B">
              <w:rPr>
                <w:i/>
                <w:sz w:val="22"/>
                <w:szCs w:val="22"/>
              </w:rPr>
              <w:t>in</w:t>
            </w:r>
            <w:proofErr w:type="spellEnd"/>
            <w:r w:rsidRPr="00D25C0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5C0B">
              <w:rPr>
                <w:i/>
                <w:sz w:val="22"/>
                <w:szCs w:val="22"/>
              </w:rPr>
              <w:t>zaken</w:t>
            </w:r>
            <w:proofErr w:type="spellEnd"/>
            <w:r w:rsidRPr="00D25C0B">
              <w:rPr>
                <w:sz w:val="22"/>
                <w:szCs w:val="22"/>
              </w:rPr>
              <w:t>. NCB Utrecht 2003</w:t>
            </w:r>
          </w:p>
          <w:p w:rsidR="00341101" w:rsidRPr="00D25C0B" w:rsidRDefault="00341101" w:rsidP="00576528">
            <w:pPr>
              <w:numPr>
                <w:ilvl w:val="0"/>
                <w:numId w:val="1"/>
              </w:numPr>
              <w:tabs>
                <w:tab w:val="clear" w:pos="108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Kowalska-Szubert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4B007C">
              <w:rPr>
                <w:i/>
                <w:sz w:val="22"/>
                <w:szCs w:val="22"/>
              </w:rPr>
              <w:t>Nu</w:t>
            </w:r>
            <w:proofErr w:type="spellEnd"/>
            <w:r w:rsidRPr="004B00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B007C">
              <w:rPr>
                <w:i/>
                <w:sz w:val="22"/>
                <w:szCs w:val="22"/>
              </w:rPr>
              <w:t>even</w:t>
            </w:r>
            <w:proofErr w:type="spellEnd"/>
            <w:r w:rsidRPr="004B00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B007C">
              <w:rPr>
                <w:i/>
                <w:sz w:val="22"/>
                <w:szCs w:val="22"/>
              </w:rPr>
              <w:t>zakelijk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Limburgs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Universitair</w:t>
            </w:r>
            <w:proofErr w:type="spellEnd"/>
            <w:r>
              <w:rPr>
                <w:sz w:val="22"/>
                <w:szCs w:val="22"/>
              </w:rPr>
              <w:t xml:space="preserve"> Centrum, 2005</w:t>
            </w:r>
          </w:p>
          <w:p w:rsidR="00341101" w:rsidRPr="00D25C0B" w:rsidRDefault="00341101" w:rsidP="00576528">
            <w:pPr>
              <w:numPr>
                <w:ilvl w:val="0"/>
                <w:numId w:val="1"/>
              </w:numPr>
              <w:tabs>
                <w:tab w:val="clear" w:pos="1080"/>
              </w:tabs>
              <w:ind w:left="720"/>
              <w:rPr>
                <w:sz w:val="22"/>
                <w:szCs w:val="22"/>
              </w:rPr>
            </w:pPr>
            <w:proofErr w:type="spellStart"/>
            <w:r w:rsidRPr="00D25C0B">
              <w:rPr>
                <w:sz w:val="22"/>
                <w:szCs w:val="22"/>
              </w:rPr>
              <w:t>Ommen</w:t>
            </w:r>
            <w:proofErr w:type="spellEnd"/>
            <w:r w:rsidRPr="00D25C0B">
              <w:rPr>
                <w:sz w:val="22"/>
                <w:szCs w:val="22"/>
              </w:rPr>
              <w:t xml:space="preserve">, H. van – E. van </w:t>
            </w:r>
            <w:proofErr w:type="spellStart"/>
            <w:r w:rsidRPr="00D25C0B">
              <w:rPr>
                <w:sz w:val="22"/>
                <w:szCs w:val="22"/>
              </w:rPr>
              <w:t>Kuppenveld</w:t>
            </w:r>
            <w:proofErr w:type="spellEnd"/>
            <w:r w:rsidRPr="00D25C0B">
              <w:rPr>
                <w:sz w:val="22"/>
                <w:szCs w:val="22"/>
              </w:rPr>
              <w:t xml:space="preserve">: </w:t>
            </w:r>
            <w:proofErr w:type="spellStart"/>
            <w:r w:rsidRPr="00D25C0B">
              <w:rPr>
                <w:i/>
                <w:sz w:val="22"/>
                <w:szCs w:val="22"/>
              </w:rPr>
              <w:t>Professionele</w:t>
            </w:r>
            <w:proofErr w:type="spellEnd"/>
            <w:r w:rsidRPr="00D25C0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5C0B">
              <w:rPr>
                <w:i/>
                <w:sz w:val="22"/>
                <w:szCs w:val="22"/>
              </w:rPr>
              <w:t>bedrijfscommunicatie</w:t>
            </w:r>
            <w:proofErr w:type="spellEnd"/>
            <w:r w:rsidRPr="00D25C0B">
              <w:rPr>
                <w:sz w:val="22"/>
                <w:szCs w:val="22"/>
              </w:rPr>
              <w:t xml:space="preserve">. </w:t>
            </w:r>
            <w:proofErr w:type="spellStart"/>
            <w:r w:rsidRPr="00D25C0B">
              <w:rPr>
                <w:sz w:val="22"/>
                <w:szCs w:val="22"/>
              </w:rPr>
              <w:t>Wolters-Noordhoff</w:t>
            </w:r>
            <w:proofErr w:type="spellEnd"/>
            <w:r w:rsidRPr="00D25C0B">
              <w:rPr>
                <w:sz w:val="22"/>
                <w:szCs w:val="22"/>
              </w:rPr>
              <w:t xml:space="preserve"> Groningen, 1995</w:t>
            </w:r>
          </w:p>
          <w:p w:rsidR="00341101" w:rsidRDefault="00341101" w:rsidP="00576528">
            <w:pPr>
              <w:numPr>
                <w:ilvl w:val="0"/>
                <w:numId w:val="1"/>
              </w:numPr>
              <w:tabs>
                <w:tab w:val="clear" w:pos="1080"/>
              </w:tabs>
              <w:ind w:left="720"/>
              <w:rPr>
                <w:sz w:val="22"/>
                <w:szCs w:val="22"/>
              </w:rPr>
            </w:pPr>
            <w:proofErr w:type="spellStart"/>
            <w:r w:rsidRPr="00D25C0B">
              <w:rPr>
                <w:sz w:val="22"/>
                <w:szCs w:val="22"/>
              </w:rPr>
              <w:t>Olsthoorn</w:t>
            </w:r>
            <w:proofErr w:type="spellEnd"/>
            <w:r w:rsidRPr="00D25C0B">
              <w:rPr>
                <w:sz w:val="22"/>
                <w:szCs w:val="22"/>
              </w:rPr>
              <w:t>, A</w:t>
            </w:r>
            <w:proofErr w:type="gramStart"/>
            <w:r w:rsidRPr="00D25C0B">
              <w:rPr>
                <w:sz w:val="22"/>
                <w:szCs w:val="22"/>
              </w:rPr>
              <w:t>.C.</w:t>
            </w:r>
            <w:proofErr w:type="gramEnd"/>
            <w:r w:rsidRPr="00D25C0B">
              <w:rPr>
                <w:sz w:val="22"/>
                <w:szCs w:val="22"/>
              </w:rPr>
              <w:t>J.M. - J</w:t>
            </w:r>
            <w:proofErr w:type="gramStart"/>
            <w:r w:rsidRPr="00D25C0B">
              <w:rPr>
                <w:sz w:val="22"/>
                <w:szCs w:val="22"/>
              </w:rPr>
              <w:t>.H</w:t>
            </w:r>
            <w:proofErr w:type="gramEnd"/>
            <w:r w:rsidRPr="00D25C0B">
              <w:rPr>
                <w:sz w:val="22"/>
                <w:szCs w:val="22"/>
              </w:rPr>
              <w:t xml:space="preserve">. van der </w:t>
            </w:r>
            <w:proofErr w:type="spellStart"/>
            <w:r w:rsidRPr="00D25C0B">
              <w:rPr>
                <w:sz w:val="22"/>
                <w:szCs w:val="22"/>
              </w:rPr>
              <w:t>Velden</w:t>
            </w:r>
            <w:proofErr w:type="spellEnd"/>
            <w:r w:rsidRPr="00D25C0B">
              <w:rPr>
                <w:sz w:val="22"/>
                <w:szCs w:val="22"/>
              </w:rPr>
              <w:t xml:space="preserve">: </w:t>
            </w:r>
            <w:proofErr w:type="spellStart"/>
            <w:r w:rsidRPr="00D25C0B">
              <w:rPr>
                <w:i/>
                <w:sz w:val="22"/>
                <w:szCs w:val="22"/>
              </w:rPr>
              <w:t>Elementaire</w:t>
            </w:r>
            <w:proofErr w:type="spellEnd"/>
            <w:r w:rsidRPr="00D25C0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25C0B">
              <w:rPr>
                <w:i/>
                <w:sz w:val="22"/>
                <w:szCs w:val="22"/>
              </w:rPr>
              <w:t>communicatie</w:t>
            </w:r>
            <w:proofErr w:type="spellEnd"/>
            <w:r w:rsidRPr="00D25C0B">
              <w:rPr>
                <w:sz w:val="22"/>
                <w:szCs w:val="22"/>
              </w:rPr>
              <w:t xml:space="preserve">. </w:t>
            </w:r>
            <w:proofErr w:type="spellStart"/>
            <w:r w:rsidRPr="00D25C0B">
              <w:rPr>
                <w:sz w:val="22"/>
                <w:szCs w:val="22"/>
              </w:rPr>
              <w:t>Thieme</w:t>
            </w:r>
            <w:proofErr w:type="spellEnd"/>
            <w:r w:rsidRPr="00D25C0B">
              <w:rPr>
                <w:sz w:val="22"/>
                <w:szCs w:val="22"/>
              </w:rPr>
              <w:t xml:space="preserve"> </w:t>
            </w:r>
            <w:proofErr w:type="spellStart"/>
            <w:r w:rsidRPr="00D25C0B">
              <w:rPr>
                <w:sz w:val="22"/>
                <w:szCs w:val="22"/>
              </w:rPr>
              <w:t>Zutphen</w:t>
            </w:r>
            <w:proofErr w:type="spellEnd"/>
            <w:r w:rsidRPr="00D25C0B">
              <w:rPr>
                <w:sz w:val="22"/>
                <w:szCs w:val="22"/>
              </w:rPr>
              <w:t>, 1996</w:t>
            </w:r>
          </w:p>
          <w:p w:rsidR="00341101" w:rsidRPr="00D25C0B" w:rsidRDefault="00341101" w:rsidP="00576528">
            <w:pPr>
              <w:numPr>
                <w:ilvl w:val="0"/>
                <w:numId w:val="1"/>
              </w:numPr>
              <w:tabs>
                <w:tab w:val="clear" w:pos="1080"/>
              </w:tabs>
              <w:ind w:left="720"/>
              <w:rPr>
                <w:sz w:val="22"/>
                <w:szCs w:val="22"/>
              </w:rPr>
            </w:pPr>
            <w:proofErr w:type="spellStart"/>
            <w:r w:rsidRPr="004B007C">
              <w:rPr>
                <w:i/>
                <w:sz w:val="22"/>
                <w:szCs w:val="22"/>
              </w:rPr>
              <w:t>Zakelijk</w:t>
            </w:r>
            <w:proofErr w:type="spellEnd"/>
            <w:r w:rsidRPr="004B00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B007C">
              <w:rPr>
                <w:i/>
                <w:sz w:val="22"/>
                <w:szCs w:val="22"/>
              </w:rPr>
              <w:t>telefoneren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Discimus</w:t>
            </w:r>
            <w:proofErr w:type="spellEnd"/>
            <w:r>
              <w:rPr>
                <w:sz w:val="22"/>
                <w:szCs w:val="22"/>
              </w:rPr>
              <w:t>, Debrecen, 2005</w:t>
            </w:r>
          </w:p>
          <w:p w:rsidR="00341101" w:rsidRPr="00742FC1" w:rsidRDefault="00341101" w:rsidP="00576528">
            <w:pPr>
              <w:rPr>
                <w:rFonts w:ascii="Garamond" w:hAnsi="Garamond"/>
              </w:rPr>
            </w:pPr>
          </w:p>
          <w:p w:rsidR="00341101" w:rsidRPr="004E3EFD" w:rsidRDefault="00341101" w:rsidP="00576528">
            <w:pPr>
              <w:rPr>
                <w:sz w:val="22"/>
                <w:szCs w:val="22"/>
              </w:rPr>
            </w:pPr>
            <w:r w:rsidRPr="004E3EFD">
              <w:rPr>
                <w:sz w:val="22"/>
                <w:szCs w:val="22"/>
              </w:rPr>
              <w:t xml:space="preserve">Etv.nl: </w:t>
            </w:r>
            <w:proofErr w:type="spellStart"/>
            <w:r w:rsidRPr="004E3EFD">
              <w:rPr>
                <w:sz w:val="22"/>
                <w:szCs w:val="22"/>
              </w:rPr>
              <w:t>Voor</w:t>
            </w:r>
            <w:proofErr w:type="spellEnd"/>
            <w:r w:rsidRPr="004E3EFD">
              <w:rPr>
                <w:sz w:val="22"/>
                <w:szCs w:val="22"/>
              </w:rPr>
              <w:t xml:space="preserve"> </w:t>
            </w:r>
            <w:proofErr w:type="spellStart"/>
            <w:r w:rsidRPr="004E3EFD">
              <w:rPr>
                <w:sz w:val="22"/>
                <w:szCs w:val="22"/>
              </w:rPr>
              <w:t>niets</w:t>
            </w:r>
            <w:proofErr w:type="spellEnd"/>
            <w:r w:rsidRPr="004E3EFD">
              <w:rPr>
                <w:sz w:val="22"/>
                <w:szCs w:val="22"/>
              </w:rPr>
              <w:t xml:space="preserve"> </w:t>
            </w:r>
            <w:proofErr w:type="spellStart"/>
            <w:r w:rsidRPr="004E3EFD">
              <w:rPr>
                <w:sz w:val="22"/>
                <w:szCs w:val="22"/>
              </w:rPr>
              <w:t>gaat</w:t>
            </w:r>
            <w:proofErr w:type="spellEnd"/>
            <w:r w:rsidRPr="004E3EFD">
              <w:rPr>
                <w:sz w:val="22"/>
                <w:szCs w:val="22"/>
              </w:rPr>
              <w:t xml:space="preserve"> de </w:t>
            </w:r>
            <w:proofErr w:type="spellStart"/>
            <w:r w:rsidRPr="004E3EFD">
              <w:rPr>
                <w:sz w:val="22"/>
                <w:szCs w:val="22"/>
              </w:rPr>
              <w:t>zon</w:t>
            </w:r>
            <w:proofErr w:type="spellEnd"/>
            <w:r w:rsidRPr="004E3EFD">
              <w:rPr>
                <w:sz w:val="22"/>
                <w:szCs w:val="22"/>
              </w:rPr>
              <w:t xml:space="preserve"> </w:t>
            </w:r>
            <w:proofErr w:type="spellStart"/>
            <w:r w:rsidRPr="004E3EFD">
              <w:rPr>
                <w:sz w:val="22"/>
                <w:szCs w:val="22"/>
              </w:rPr>
              <w:t>op</w:t>
            </w:r>
            <w:proofErr w:type="spellEnd"/>
            <w:r w:rsidRPr="004E3EFD">
              <w:rPr>
                <w:sz w:val="22"/>
                <w:szCs w:val="22"/>
              </w:rPr>
              <w:t>/4</w:t>
            </w:r>
          </w:p>
          <w:p w:rsidR="00341101" w:rsidRPr="004E3EFD" w:rsidRDefault="00341101" w:rsidP="00576528">
            <w:pPr>
              <w:rPr>
                <w:sz w:val="22"/>
                <w:szCs w:val="22"/>
              </w:rPr>
            </w:pPr>
            <w:r w:rsidRPr="004E3EFD">
              <w:rPr>
                <w:sz w:val="22"/>
                <w:szCs w:val="22"/>
              </w:rPr>
              <w:tab/>
            </w:r>
            <w:proofErr w:type="spellStart"/>
            <w:r w:rsidRPr="004E3EFD">
              <w:rPr>
                <w:sz w:val="22"/>
                <w:szCs w:val="22"/>
              </w:rPr>
              <w:t>Uit</w:t>
            </w:r>
            <w:proofErr w:type="spellEnd"/>
            <w:r w:rsidRPr="004E3EFD">
              <w:rPr>
                <w:sz w:val="22"/>
                <w:szCs w:val="22"/>
              </w:rPr>
              <w:t xml:space="preserve"> de </w:t>
            </w:r>
            <w:proofErr w:type="spellStart"/>
            <w:r w:rsidRPr="004E3EFD">
              <w:rPr>
                <w:sz w:val="22"/>
                <w:szCs w:val="22"/>
              </w:rPr>
              <w:t>geldzorgen</w:t>
            </w:r>
            <w:proofErr w:type="spellEnd"/>
            <w:r w:rsidRPr="004E3EFD">
              <w:rPr>
                <w:sz w:val="22"/>
                <w:szCs w:val="22"/>
              </w:rPr>
              <w:t>/7</w:t>
            </w:r>
          </w:p>
          <w:p w:rsidR="00341101" w:rsidRPr="004E3EFD" w:rsidRDefault="00341101" w:rsidP="00576528">
            <w:pPr>
              <w:ind w:firstLine="708"/>
              <w:rPr>
                <w:sz w:val="22"/>
                <w:szCs w:val="22"/>
              </w:rPr>
            </w:pPr>
            <w:proofErr w:type="spellStart"/>
            <w:proofErr w:type="gramStart"/>
            <w:r w:rsidRPr="004E3EFD">
              <w:rPr>
                <w:sz w:val="22"/>
                <w:szCs w:val="22"/>
              </w:rPr>
              <w:t>Sollicitatietips</w:t>
            </w:r>
            <w:proofErr w:type="spellEnd"/>
            <w:r w:rsidRPr="004E3EFD">
              <w:rPr>
                <w:sz w:val="22"/>
                <w:szCs w:val="22"/>
              </w:rPr>
              <w:t xml:space="preserve">  1-8</w:t>
            </w:r>
            <w:proofErr w:type="gramEnd"/>
          </w:p>
          <w:p w:rsidR="00341101" w:rsidRPr="004E3EFD" w:rsidRDefault="00341101" w:rsidP="00576528">
            <w:pPr>
              <w:ind w:firstLine="708"/>
              <w:rPr>
                <w:sz w:val="22"/>
                <w:szCs w:val="22"/>
              </w:rPr>
            </w:pPr>
            <w:proofErr w:type="spellStart"/>
            <w:r w:rsidRPr="004E3EFD">
              <w:rPr>
                <w:sz w:val="22"/>
                <w:szCs w:val="22"/>
              </w:rPr>
              <w:t>Ondernemen</w:t>
            </w:r>
            <w:proofErr w:type="spellEnd"/>
            <w:r w:rsidRPr="004E3EFD">
              <w:rPr>
                <w:sz w:val="22"/>
                <w:szCs w:val="22"/>
              </w:rPr>
              <w:t xml:space="preserve"> 1-3</w:t>
            </w:r>
          </w:p>
          <w:p w:rsidR="00341101" w:rsidRPr="004E3EFD" w:rsidRDefault="00341101" w:rsidP="00576528">
            <w:pPr>
              <w:ind w:firstLine="708"/>
              <w:rPr>
                <w:sz w:val="22"/>
                <w:szCs w:val="22"/>
              </w:rPr>
            </w:pPr>
            <w:proofErr w:type="spellStart"/>
            <w:r w:rsidRPr="004E3EFD">
              <w:rPr>
                <w:sz w:val="22"/>
                <w:szCs w:val="22"/>
              </w:rPr>
              <w:t>Maak</w:t>
            </w:r>
            <w:proofErr w:type="spellEnd"/>
            <w:r w:rsidRPr="004E3EFD">
              <w:rPr>
                <w:sz w:val="22"/>
                <w:szCs w:val="22"/>
              </w:rPr>
              <w:t xml:space="preserve"> </w:t>
            </w:r>
            <w:proofErr w:type="spellStart"/>
            <w:r w:rsidRPr="004E3EFD">
              <w:rPr>
                <w:sz w:val="22"/>
                <w:szCs w:val="22"/>
              </w:rPr>
              <w:t>werk</w:t>
            </w:r>
            <w:proofErr w:type="spellEnd"/>
            <w:r w:rsidRPr="004E3EFD">
              <w:rPr>
                <w:sz w:val="22"/>
                <w:szCs w:val="22"/>
              </w:rPr>
              <w:t xml:space="preserve"> van </w:t>
            </w:r>
            <w:proofErr w:type="spellStart"/>
            <w:r w:rsidRPr="004E3EFD">
              <w:rPr>
                <w:sz w:val="22"/>
                <w:szCs w:val="22"/>
              </w:rPr>
              <w:t>je</w:t>
            </w:r>
            <w:proofErr w:type="spellEnd"/>
            <w:r w:rsidRPr="004E3EFD">
              <w:rPr>
                <w:sz w:val="22"/>
                <w:szCs w:val="22"/>
              </w:rPr>
              <w:t xml:space="preserve"> </w:t>
            </w:r>
            <w:proofErr w:type="spellStart"/>
            <w:r w:rsidRPr="004E3EFD">
              <w:rPr>
                <w:sz w:val="22"/>
                <w:szCs w:val="22"/>
              </w:rPr>
              <w:t>zaak</w:t>
            </w:r>
            <w:proofErr w:type="spellEnd"/>
            <w:r w:rsidRPr="004E3EFD">
              <w:rPr>
                <w:sz w:val="22"/>
                <w:szCs w:val="22"/>
              </w:rPr>
              <w:t xml:space="preserve"> 12, 7-9</w:t>
            </w:r>
          </w:p>
          <w:p w:rsidR="00341101" w:rsidRPr="004E3EFD" w:rsidRDefault="00341101" w:rsidP="00576528">
            <w:pPr>
              <w:ind w:firstLine="708"/>
              <w:rPr>
                <w:sz w:val="22"/>
                <w:szCs w:val="22"/>
              </w:rPr>
            </w:pPr>
            <w:proofErr w:type="spellStart"/>
            <w:r w:rsidRPr="004E3EFD">
              <w:rPr>
                <w:sz w:val="22"/>
                <w:szCs w:val="22"/>
              </w:rPr>
              <w:t>Kijk</w:t>
            </w:r>
            <w:proofErr w:type="spellEnd"/>
            <w:r w:rsidRPr="004E3EFD">
              <w:rPr>
                <w:sz w:val="22"/>
                <w:szCs w:val="22"/>
              </w:rPr>
              <w:t xml:space="preserve"> </w:t>
            </w:r>
            <w:proofErr w:type="spellStart"/>
            <w:r w:rsidRPr="004E3EFD">
              <w:rPr>
                <w:sz w:val="22"/>
                <w:szCs w:val="22"/>
              </w:rPr>
              <w:t>op</w:t>
            </w:r>
            <w:proofErr w:type="spellEnd"/>
            <w:r w:rsidRPr="004E3EFD">
              <w:rPr>
                <w:sz w:val="22"/>
                <w:szCs w:val="22"/>
              </w:rPr>
              <w:t xml:space="preserve"> </w:t>
            </w:r>
            <w:proofErr w:type="spellStart"/>
            <w:r w:rsidRPr="004E3EFD">
              <w:rPr>
                <w:sz w:val="22"/>
                <w:szCs w:val="22"/>
              </w:rPr>
              <w:t>geld</w:t>
            </w:r>
            <w:proofErr w:type="spellEnd"/>
            <w:r w:rsidRPr="004E3EFD">
              <w:rPr>
                <w:sz w:val="22"/>
                <w:szCs w:val="22"/>
              </w:rPr>
              <w:t xml:space="preserve"> 1-5</w:t>
            </w:r>
          </w:p>
          <w:p w:rsidR="00341101" w:rsidRPr="002E42CC" w:rsidRDefault="00341101" w:rsidP="00576528">
            <w:pPr>
              <w:rPr>
                <w:sz w:val="22"/>
                <w:szCs w:val="22"/>
                <w:lang w:val="nl-NL"/>
              </w:rPr>
            </w:pPr>
          </w:p>
        </w:tc>
      </w:tr>
    </w:tbl>
    <w:p w:rsidR="003B23A7" w:rsidRDefault="003B23A7"/>
    <w:sectPr w:rsidR="003B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017C5"/>
    <w:multiLevelType w:val="hybridMultilevel"/>
    <w:tmpl w:val="35E27C1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1"/>
    <w:rsid w:val="00341101"/>
    <w:rsid w:val="003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05CF-FBFC-4F7E-9E5C-EA8F5C3B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41101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411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unhideWhenUsed/>
    <w:rsid w:val="00341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enka.esz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Dóra</dc:creator>
  <cp:keywords/>
  <dc:description/>
  <cp:lastModifiedBy>Tóth Dóra</cp:lastModifiedBy>
  <cp:revision>1</cp:revision>
  <dcterms:created xsi:type="dcterms:W3CDTF">2018-11-08T10:38:00Z</dcterms:created>
  <dcterms:modified xsi:type="dcterms:W3CDTF">2018-11-08T10:38:00Z</dcterms:modified>
</cp:coreProperties>
</file>