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B90061" w:rsidRDefault="004D5ED7" w:rsidP="00625212">
            <w:pPr>
              <w:jc w:val="both"/>
              <w:rPr>
                <w:b/>
                <w:sz w:val="24"/>
                <w:szCs w:val="24"/>
                <w:lang w:val="en-US"/>
              </w:rPr>
            </w:pPr>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r w:rsidR="00500436" w:rsidRPr="008A7BAD">
              <w:rPr>
                <w:b/>
                <w:bCs/>
                <w:color w:val="000000"/>
                <w:sz w:val="24"/>
                <w:szCs w:val="24"/>
                <w:lang w:val="en-US"/>
              </w:rPr>
              <w:t>Competency based Pedagogy</w:t>
            </w:r>
          </w:p>
        </w:tc>
      </w:tr>
      <w:tr w:rsidR="004D5ED7" w:rsidTr="004D5ED7">
        <w:trPr>
          <w:cantSplit/>
          <w:trHeight w:val="792"/>
        </w:trPr>
        <w:tc>
          <w:tcPr>
            <w:tcW w:w="9497" w:type="dxa"/>
            <w:tcBorders>
              <w:bottom w:val="single" w:sz="4" w:space="0" w:color="auto"/>
            </w:tcBorders>
            <w:shd w:val="clear" w:color="auto" w:fill="FFFFFF"/>
            <w:vAlign w:val="center"/>
          </w:tcPr>
          <w:p w:rsidR="004D5ED7" w:rsidRPr="00B90061" w:rsidRDefault="004D5ED7" w:rsidP="00625212">
            <w:pPr>
              <w:keepNext/>
              <w:spacing w:before="60" w:after="60"/>
              <w:ind w:left="1701" w:hanging="1701"/>
              <w:outlineLvl w:val="2"/>
              <w:rPr>
                <w:b/>
                <w:sz w:val="24"/>
              </w:rPr>
            </w:pPr>
            <w:proofErr w:type="spellStart"/>
            <w:r w:rsidRPr="003716B5">
              <w:rPr>
                <w:bCs/>
                <w:i/>
                <w:sz w:val="24"/>
              </w:rPr>
              <w:t>Instructor’s</w:t>
            </w:r>
            <w:proofErr w:type="spellEnd"/>
            <w:r w:rsidRPr="003716B5">
              <w:rPr>
                <w:bCs/>
                <w:i/>
                <w:sz w:val="24"/>
              </w:rPr>
              <w:t xml:space="preserve"> </w:t>
            </w:r>
            <w:proofErr w:type="spellStart"/>
            <w:r w:rsidRPr="003716B5">
              <w:rPr>
                <w:bCs/>
                <w:i/>
                <w:sz w:val="24"/>
              </w:rPr>
              <w:t>Name</w:t>
            </w:r>
            <w:proofErr w:type="spellEnd"/>
            <w:r>
              <w:rPr>
                <w:bCs/>
                <w:sz w:val="24"/>
              </w:rPr>
              <w:t xml:space="preserve">: </w:t>
            </w:r>
            <w:r w:rsidR="00B90061">
              <w:rPr>
                <w:b/>
                <w:bCs/>
                <w:sz w:val="24"/>
              </w:rPr>
              <w:t>Dr. Mészáros László PhD</w:t>
            </w:r>
          </w:p>
        </w:tc>
      </w:tr>
      <w:tr w:rsidR="004D5ED7" w:rsidTr="004D5ED7">
        <w:trPr>
          <w:cantSplit/>
          <w:trHeight w:val="792"/>
        </w:trPr>
        <w:tc>
          <w:tcPr>
            <w:tcW w:w="9497" w:type="dxa"/>
            <w:tcBorders>
              <w:bottom w:val="single" w:sz="4" w:space="0" w:color="auto"/>
            </w:tcBorders>
            <w:shd w:val="clear" w:color="auto" w:fill="FFFFFF"/>
            <w:vAlign w:val="center"/>
          </w:tcPr>
          <w:p w:rsidR="004D5ED7" w:rsidRPr="00B90061" w:rsidRDefault="004D5ED7" w:rsidP="00810B34">
            <w:pPr>
              <w:keepNext/>
              <w:spacing w:before="240" w:after="240"/>
              <w:outlineLvl w:val="2"/>
              <w:rPr>
                <w:b/>
                <w:bCs/>
                <w:sz w:val="24"/>
              </w:rPr>
            </w:pPr>
            <w:proofErr w:type="spellStart"/>
            <w:r w:rsidRPr="003716B5">
              <w:rPr>
                <w:bCs/>
                <w:i/>
                <w:sz w:val="24"/>
              </w:rPr>
              <w:t>Instructor’s</w:t>
            </w:r>
            <w:proofErr w:type="spellEnd"/>
            <w:r w:rsidRPr="003716B5">
              <w:rPr>
                <w:bCs/>
                <w:i/>
                <w:sz w:val="24"/>
              </w:rPr>
              <w:t xml:space="preserve"> Email </w:t>
            </w:r>
            <w:proofErr w:type="spellStart"/>
            <w:r w:rsidRPr="003716B5">
              <w:rPr>
                <w:bCs/>
                <w:i/>
                <w:sz w:val="24"/>
              </w:rPr>
              <w:t>Address</w:t>
            </w:r>
            <w:proofErr w:type="spellEnd"/>
            <w:r>
              <w:rPr>
                <w:bCs/>
                <w:sz w:val="24"/>
              </w:rPr>
              <w:t xml:space="preserve">: </w:t>
            </w:r>
            <w:r w:rsidR="00B90061">
              <w:rPr>
                <w:b/>
                <w:bCs/>
                <w:sz w:val="24"/>
              </w:rPr>
              <w:t>meszaros.laszlo@kre.hu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A979D6" w:rsidP="00810B34">
                  <w:pPr>
                    <w:keepNext/>
                    <w:spacing w:before="60" w:after="60"/>
                    <w:jc w:val="center"/>
                    <w:outlineLvl w:val="2"/>
                    <w:rPr>
                      <w:b/>
                      <w:bCs/>
                      <w:sz w:val="24"/>
                    </w:rPr>
                  </w:pPr>
                  <w:r>
                    <w:rPr>
                      <w:b/>
                      <w:bCs/>
                      <w:sz w:val="24"/>
                    </w:rPr>
                    <w:t>6</w:t>
                  </w:r>
                </w:p>
              </w:tc>
              <w:tc>
                <w:tcPr>
                  <w:tcW w:w="2160" w:type="dxa"/>
                  <w:shd w:val="clear" w:color="auto" w:fill="auto"/>
                </w:tcPr>
                <w:p w:rsidR="00625212" w:rsidRPr="00AB23C5" w:rsidRDefault="004D5ED7" w:rsidP="00625212">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r w:rsidRPr="00AB23C5">
                    <w:rPr>
                      <w:bCs/>
                      <w:sz w:val="24"/>
                    </w:rPr>
                    <w:t xml:space="preserve">:       </w:t>
                  </w:r>
                </w:p>
                <w:p w:rsidR="00B90061" w:rsidRPr="00B90061" w:rsidRDefault="00B90061" w:rsidP="00B90061">
                  <w:pPr>
                    <w:keepNext/>
                    <w:spacing w:before="60" w:after="60"/>
                    <w:jc w:val="center"/>
                    <w:outlineLvl w:val="2"/>
                    <w:rPr>
                      <w:b/>
                      <w:bCs/>
                      <w:sz w:val="24"/>
                    </w:rPr>
                  </w:pPr>
                  <w:r>
                    <w:rPr>
                      <w:b/>
                      <w:bCs/>
                      <w:sz w:val="24"/>
                    </w:rPr>
                    <w:t>2</w:t>
                  </w:r>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sdtPr>
                    <w:sdtEndPr/>
                    <w:sdtContent>
                      <w:r w:rsidR="00625212">
                        <w:rPr>
                          <w:rFonts w:ascii="MS Gothic" w:eastAsia="MS Gothic" w:hAnsi="MS Gothic" w:hint="eastAsia"/>
                          <w:b/>
                          <w:bCs/>
                          <w:sz w:val="24"/>
                        </w:rPr>
                        <w:t>☐</w:t>
                      </w:r>
                    </w:sdtContent>
                  </w:sdt>
                </w:p>
                <w:p w:rsidR="004D5ED7" w:rsidRPr="00E236AE" w:rsidRDefault="004D5ED7" w:rsidP="00B90061">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sdtPr>
                    <w:sdtEndPr/>
                    <w:sdtContent>
                      <w:r w:rsidR="00B90061">
                        <w:rPr>
                          <w:rFonts w:ascii="MS Gothic" w:eastAsia="MS Gothic" w:hAnsi="MS Gothic"/>
                          <w:b/>
                          <w:bCs/>
                          <w:sz w:val="24"/>
                        </w:rPr>
                        <w:t>X</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sdtPr>
                    <w:sdtEndPr/>
                    <w:sdtContent>
                      <w:r w:rsidR="00B90061">
                        <w:rPr>
                          <w:rFonts w:ascii="MS Gothic" w:eastAsia="MS Gothic" w:hAnsi="MS Gothic"/>
                          <w:b/>
                          <w:bCs/>
                          <w:sz w:val="24"/>
                        </w:rPr>
                        <w:t>X</w:t>
                      </w:r>
                    </w:sdtContent>
                  </w:sdt>
                </w:p>
                <w:p w:rsidR="004D5ED7" w:rsidRDefault="004D5ED7" w:rsidP="00810B34">
                  <w:pPr>
                    <w:keepNext/>
                    <w:spacing w:before="60" w:after="60"/>
                    <w:jc w:val="center"/>
                    <w:outlineLvl w:val="2"/>
                    <w:rPr>
                      <w:b/>
                      <w:bCs/>
                      <w:sz w:val="24"/>
                    </w:rPr>
                  </w:pPr>
                  <w:r w:rsidRPr="00E236AE">
                    <w:rPr>
                      <w:b/>
                      <w:bCs/>
                      <w:sz w:val="24"/>
                    </w:rPr>
                    <w:t>In-</w:t>
                  </w:r>
                  <w:proofErr w:type="spellStart"/>
                  <w:r w:rsidRPr="00E236AE">
                    <w:rPr>
                      <w:b/>
                      <w:bCs/>
                      <w:sz w:val="24"/>
                    </w:rPr>
                    <w:t>Class</w:t>
                  </w:r>
                  <w:proofErr w:type="spellEnd"/>
                  <w:r w:rsidRPr="00E236AE">
                    <w:rPr>
                      <w:b/>
                      <w:bCs/>
                      <w:sz w:val="24"/>
                    </w:rPr>
                    <w:t xml:space="preserve"> </w:t>
                  </w:r>
                  <w:r w:rsidR="00047622">
                    <w:rPr>
                      <w:b/>
                      <w:bCs/>
                      <w:sz w:val="24"/>
                    </w:rPr>
                    <w:t xml:space="preserve">Group </w:t>
                  </w:r>
                  <w:proofErr w:type="spellStart"/>
                  <w:r w:rsidRPr="00E236AE">
                    <w:rPr>
                      <w:b/>
                      <w:bCs/>
                      <w:sz w:val="24"/>
                    </w:rPr>
                    <w:t>Presentation</w:t>
                  </w:r>
                  <w:proofErr w:type="spellEnd"/>
                  <w:r w:rsidRPr="00E236AE">
                    <w:rPr>
                      <w:b/>
                      <w:bCs/>
                      <w:sz w:val="24"/>
                    </w:rPr>
                    <w:t xml:space="preserve"> </w:t>
                  </w:r>
                  <w:sdt>
                    <w:sdtPr>
                      <w:rPr>
                        <w:b/>
                        <w:bCs/>
                        <w:sz w:val="24"/>
                      </w:rPr>
                      <w:id w:val="-1146507399"/>
                    </w:sdtPr>
                    <w:sdtEndPr/>
                    <w:sdtContent>
                      <w:r w:rsidR="00625212">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sdtPr>
                    <w:sdtEndPr/>
                    <w:sdtContent>
                      <w:r w:rsidR="00047622">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555644" w:rsidRDefault="00555644" w:rsidP="00810B34">
            <w:pPr>
              <w:rPr>
                <w:b/>
                <w:sz w:val="24"/>
              </w:rPr>
            </w:pPr>
          </w:p>
          <w:p w:rsidR="00500436" w:rsidRPr="008A7BAD" w:rsidRDefault="007E317C" w:rsidP="00500436">
            <w:pPr>
              <w:jc w:val="both"/>
              <w:rPr>
                <w:sz w:val="24"/>
                <w:szCs w:val="24"/>
                <w:lang w:val="en-US"/>
              </w:rPr>
            </w:pPr>
            <w:r w:rsidRPr="008A7BAD">
              <w:rPr>
                <w:bCs/>
                <w:color w:val="000000"/>
                <w:sz w:val="24"/>
                <w:szCs w:val="24"/>
                <w:lang w:val="en-US"/>
              </w:rPr>
              <w:t>The aim of the competency based pedagogy is to provide such key competencies that are independent form any subject, as well as to be able to provide the basics for students both on theoretical and practical ways for their development of competency so in their later life as an educator they can assist properly all students according to their ability and are able to navigate in this interrelated area.</w:t>
            </w:r>
            <w:r>
              <w:rPr>
                <w:bCs/>
                <w:color w:val="000000"/>
                <w:sz w:val="24"/>
                <w:szCs w:val="24"/>
                <w:lang w:val="en-US"/>
              </w:rPr>
              <w:t xml:space="preserve"> </w:t>
            </w:r>
            <w:r w:rsidR="00500436" w:rsidRPr="008A7BAD">
              <w:rPr>
                <w:sz w:val="24"/>
                <w:szCs w:val="24"/>
                <w:lang w:val="en-US"/>
              </w:rPr>
              <w:t>The mains issues of the Competency based Pedagogy part:</w:t>
            </w:r>
            <w:r w:rsidR="00500436">
              <w:rPr>
                <w:sz w:val="24"/>
                <w:szCs w:val="24"/>
                <w:lang w:val="en-US"/>
              </w:rPr>
              <w:t xml:space="preserve"> a) </w:t>
            </w:r>
            <w:r w:rsidR="00500436" w:rsidRPr="008A7BAD">
              <w:rPr>
                <w:sz w:val="24"/>
                <w:szCs w:val="24"/>
                <w:lang w:val="en-US"/>
              </w:rPr>
              <w:t>The theoretical methodology and dilemmas of competency based pedagogy</w:t>
            </w:r>
            <w:r w:rsidR="00500436">
              <w:rPr>
                <w:sz w:val="24"/>
                <w:szCs w:val="24"/>
                <w:lang w:val="en-US"/>
              </w:rPr>
              <w:t xml:space="preserve">, and b) </w:t>
            </w:r>
            <w:r w:rsidR="00500436" w:rsidRPr="008A7BAD">
              <w:rPr>
                <w:sz w:val="24"/>
                <w:szCs w:val="24"/>
                <w:lang w:val="en-US"/>
              </w:rPr>
              <w:t>Pragmatic possibilities for competency development: communications, mathematics, natural sciences, social sciences, culture, the learning of how to study</w:t>
            </w:r>
            <w:r w:rsidR="00500436">
              <w:rPr>
                <w:sz w:val="24"/>
                <w:szCs w:val="24"/>
                <w:lang w:val="en-US"/>
              </w:rPr>
              <w:t>.</w:t>
            </w:r>
            <w:r w:rsidR="00500436" w:rsidRPr="008A7BAD">
              <w:rPr>
                <w:sz w:val="24"/>
                <w:szCs w:val="24"/>
                <w:lang w:val="en-US"/>
              </w:rPr>
              <w:t xml:space="preserve"> </w:t>
            </w:r>
          </w:p>
          <w:p w:rsidR="007E317C" w:rsidRPr="008A7BAD" w:rsidRDefault="007E317C" w:rsidP="007E317C">
            <w:pPr>
              <w:jc w:val="both"/>
              <w:rPr>
                <w:bCs/>
                <w:color w:val="000000"/>
                <w:sz w:val="24"/>
                <w:szCs w:val="24"/>
                <w:lang w:val="en-US"/>
              </w:rPr>
            </w:pPr>
          </w:p>
          <w:p w:rsidR="004D5ED7" w:rsidRPr="00E236AE" w:rsidRDefault="00D25ECB" w:rsidP="00FC123D">
            <w:pPr>
              <w:jc w:val="both"/>
              <w:rPr>
                <w:sz w:val="24"/>
                <w:szCs w:val="24"/>
                <w:lang w:val="en-US"/>
              </w:rPr>
            </w:pPr>
            <w:r w:rsidRPr="00D25ECB">
              <w:rPr>
                <w:rStyle w:val="shorttext"/>
                <w:sz w:val="24"/>
                <w:szCs w:val="24"/>
              </w:rPr>
              <w:t xml:space="preserve">The </w:t>
            </w:r>
            <w:proofErr w:type="spellStart"/>
            <w:r w:rsidRPr="00D25ECB">
              <w:rPr>
                <w:rStyle w:val="shorttext"/>
                <w:sz w:val="24"/>
                <w:szCs w:val="24"/>
              </w:rPr>
              <w:t>aim</w:t>
            </w:r>
            <w:proofErr w:type="spellEnd"/>
            <w:r w:rsidRPr="00D25ECB">
              <w:rPr>
                <w:rStyle w:val="shorttext"/>
                <w:sz w:val="24"/>
                <w:szCs w:val="24"/>
              </w:rPr>
              <w:t xml:space="preserve"> of </w:t>
            </w:r>
            <w:proofErr w:type="spellStart"/>
            <w:r w:rsidRPr="00D25ECB">
              <w:rPr>
                <w:rStyle w:val="shorttext"/>
                <w:sz w:val="24"/>
                <w:szCs w:val="24"/>
              </w:rPr>
              <w:t>the</w:t>
            </w:r>
            <w:proofErr w:type="spellEnd"/>
            <w:r w:rsidRPr="00D25ECB">
              <w:rPr>
                <w:rStyle w:val="shorttext"/>
                <w:sz w:val="24"/>
                <w:szCs w:val="24"/>
              </w:rPr>
              <w:t xml:space="preserve"> </w:t>
            </w:r>
            <w:proofErr w:type="spellStart"/>
            <w:r w:rsidRPr="00D25ECB">
              <w:rPr>
                <w:rStyle w:val="shorttext"/>
                <w:sz w:val="24"/>
                <w:szCs w:val="24"/>
              </w:rPr>
              <w:t>course</w:t>
            </w:r>
            <w:proofErr w:type="spellEnd"/>
            <w:r w:rsidRPr="00D25ECB">
              <w:rPr>
                <w:rStyle w:val="shorttext"/>
                <w:sz w:val="24"/>
                <w:szCs w:val="24"/>
              </w:rPr>
              <w:t xml:space="preserve">: </w:t>
            </w:r>
            <w:proofErr w:type="spellStart"/>
            <w:r w:rsidRPr="00D25ECB">
              <w:rPr>
                <w:rStyle w:val="shorttext"/>
                <w:sz w:val="24"/>
                <w:szCs w:val="24"/>
              </w:rPr>
              <w:t>development</w:t>
            </w:r>
            <w:proofErr w:type="spellEnd"/>
            <w:r w:rsidRPr="00D25ECB">
              <w:rPr>
                <w:rStyle w:val="shorttext"/>
                <w:sz w:val="24"/>
                <w:szCs w:val="24"/>
              </w:rPr>
              <w:t xml:space="preserve"> of </w:t>
            </w:r>
            <w:proofErr w:type="spellStart"/>
            <w:r w:rsidRPr="00D25ECB">
              <w:rPr>
                <w:rStyle w:val="shorttext"/>
                <w:sz w:val="24"/>
                <w:szCs w:val="24"/>
              </w:rPr>
              <w:t>student</w:t>
            </w:r>
            <w:proofErr w:type="spellEnd"/>
            <w:r w:rsidRPr="00D25ECB">
              <w:rPr>
                <w:rStyle w:val="shorttext"/>
                <w:sz w:val="24"/>
                <w:szCs w:val="24"/>
              </w:rPr>
              <w:t xml:space="preserve"> </w:t>
            </w:r>
            <w:proofErr w:type="spellStart"/>
            <w:r w:rsidRPr="00D25ECB">
              <w:rPr>
                <w:rStyle w:val="shorttext"/>
                <w:sz w:val="24"/>
                <w:szCs w:val="24"/>
              </w:rPr>
              <w:t>competences</w:t>
            </w:r>
            <w:proofErr w:type="spellEnd"/>
            <w:r w:rsidRPr="00D25ECB">
              <w:rPr>
                <w:rStyle w:val="shorttext"/>
                <w:sz w:val="24"/>
                <w:szCs w:val="24"/>
              </w:rPr>
              <w:t>.</w:t>
            </w:r>
            <w:r w:rsidR="007E317C">
              <w:rPr>
                <w:rStyle w:val="shorttext"/>
                <w:sz w:val="24"/>
                <w:szCs w:val="24"/>
              </w:rPr>
              <w:t xml:space="preserve"> </w:t>
            </w:r>
            <w:r w:rsidR="007E317C" w:rsidRPr="008A7BAD">
              <w:rPr>
                <w:sz w:val="24"/>
                <w:szCs w:val="24"/>
                <w:lang w:val="en-US"/>
              </w:rPr>
              <w:t>The student shall be able to monitor the development of a child, as well as realize its characteristics, to be able to help and find and apply the appropriate methods for personality development and enhancement, in addition to adjust all this into the unique Christian education process.</w:t>
            </w:r>
            <w:bookmarkStart w:id="0" w:name="_GoBack"/>
            <w:bookmarkEnd w:id="0"/>
          </w:p>
        </w:tc>
      </w:tr>
      <w:tr w:rsidR="004D5ED7" w:rsidTr="004D5ED7">
        <w:trPr>
          <w:cantSplit/>
          <w:trHeight w:val="315"/>
        </w:trPr>
        <w:tc>
          <w:tcPr>
            <w:tcW w:w="9497" w:type="dxa"/>
          </w:tcPr>
          <w:p w:rsidR="004D5ED7" w:rsidRDefault="004D5ED7" w:rsidP="00810B34">
            <w:pPr>
              <w:rPr>
                <w:b/>
                <w:sz w:val="24"/>
              </w:rPr>
            </w:pPr>
            <w:proofErr w:type="spellStart"/>
            <w:r>
              <w:rPr>
                <w:b/>
                <w:sz w:val="24"/>
              </w:rPr>
              <w:t>Bibliography</w:t>
            </w:r>
            <w:proofErr w:type="spellEnd"/>
            <w:r>
              <w:rPr>
                <w:b/>
                <w:sz w:val="24"/>
              </w:rPr>
              <w:t>:</w:t>
            </w:r>
          </w:p>
          <w:p w:rsidR="004D5ED7" w:rsidRPr="00B2217C" w:rsidRDefault="004D5ED7" w:rsidP="00810B34">
            <w:pPr>
              <w:rPr>
                <w:bCs/>
                <w:iCs/>
                <w:sz w:val="24"/>
                <w:szCs w:val="24"/>
                <w:lang w:val="en-US"/>
              </w:rPr>
            </w:pPr>
          </w:p>
          <w:p w:rsidR="00213251" w:rsidRDefault="00213251" w:rsidP="00625212">
            <w:pPr>
              <w:rPr>
                <w:bCs/>
                <w:i/>
                <w:iCs/>
                <w:sz w:val="24"/>
                <w:szCs w:val="24"/>
                <w:lang w:val="en-US"/>
              </w:rPr>
            </w:pPr>
            <w:r>
              <w:rPr>
                <w:bCs/>
                <w:iCs/>
                <w:sz w:val="24"/>
                <w:szCs w:val="24"/>
                <w:lang w:val="en-US"/>
              </w:rPr>
              <w:t xml:space="preserve">Bleach, Kevan: </w:t>
            </w:r>
            <w:r>
              <w:rPr>
                <w:bCs/>
                <w:i/>
                <w:iCs/>
                <w:sz w:val="24"/>
                <w:szCs w:val="24"/>
                <w:lang w:val="en-US"/>
              </w:rPr>
              <w:t xml:space="preserve">The Induction and Mentoring of Newly Qualified Teachers. </w:t>
            </w:r>
            <w:r>
              <w:rPr>
                <w:bCs/>
                <w:iCs/>
                <w:sz w:val="24"/>
                <w:szCs w:val="24"/>
                <w:lang w:val="en-US"/>
              </w:rPr>
              <w:t>London, 1999.</w:t>
            </w:r>
            <w:r>
              <w:rPr>
                <w:bCs/>
                <w:i/>
                <w:iCs/>
                <w:sz w:val="24"/>
                <w:szCs w:val="24"/>
                <w:lang w:val="en-US"/>
              </w:rPr>
              <w:t xml:space="preserve"> </w:t>
            </w:r>
          </w:p>
          <w:p w:rsidR="00213251" w:rsidRPr="00213251" w:rsidRDefault="00213251" w:rsidP="00625212">
            <w:pPr>
              <w:rPr>
                <w:bCs/>
                <w:iCs/>
                <w:sz w:val="24"/>
                <w:szCs w:val="24"/>
                <w:lang w:val="en-US"/>
              </w:rPr>
            </w:pPr>
            <w:r>
              <w:rPr>
                <w:bCs/>
                <w:iCs/>
                <w:sz w:val="24"/>
                <w:szCs w:val="24"/>
                <w:lang w:val="en-US"/>
              </w:rPr>
              <w:t xml:space="preserve">Bruner, Jerome: </w:t>
            </w:r>
            <w:r>
              <w:rPr>
                <w:bCs/>
                <w:i/>
                <w:iCs/>
                <w:sz w:val="24"/>
                <w:szCs w:val="24"/>
                <w:lang w:val="en-US"/>
              </w:rPr>
              <w:t xml:space="preserve">The Culture of Education. </w:t>
            </w:r>
            <w:r>
              <w:rPr>
                <w:bCs/>
                <w:iCs/>
                <w:sz w:val="24"/>
                <w:szCs w:val="24"/>
                <w:lang w:val="en-US"/>
              </w:rPr>
              <w:t>Harvard University Press, 1996.</w:t>
            </w:r>
          </w:p>
          <w:p w:rsidR="00213251" w:rsidRDefault="00213251" w:rsidP="00625212">
            <w:pPr>
              <w:rPr>
                <w:bCs/>
                <w:iCs/>
                <w:sz w:val="24"/>
                <w:szCs w:val="24"/>
                <w:lang w:val="en-US"/>
              </w:rPr>
            </w:pPr>
            <w:proofErr w:type="spellStart"/>
            <w:r>
              <w:rPr>
                <w:bCs/>
                <w:iCs/>
                <w:sz w:val="24"/>
                <w:szCs w:val="24"/>
                <w:lang w:val="en-US"/>
              </w:rPr>
              <w:t>Delors</w:t>
            </w:r>
            <w:proofErr w:type="spellEnd"/>
            <w:r>
              <w:rPr>
                <w:bCs/>
                <w:iCs/>
                <w:sz w:val="24"/>
                <w:szCs w:val="24"/>
                <w:lang w:val="en-US"/>
              </w:rPr>
              <w:t xml:space="preserve">, Jacques (ed.): </w:t>
            </w:r>
            <w:r w:rsidRPr="009A1344">
              <w:rPr>
                <w:bCs/>
                <w:i/>
                <w:iCs/>
                <w:sz w:val="24"/>
                <w:szCs w:val="24"/>
                <w:lang w:val="en-US"/>
              </w:rPr>
              <w:t>Learning: the Treasure within</w:t>
            </w:r>
            <w:r>
              <w:rPr>
                <w:bCs/>
                <w:i/>
                <w:iCs/>
                <w:sz w:val="24"/>
                <w:szCs w:val="24"/>
                <w:lang w:val="en-US"/>
              </w:rPr>
              <w:t xml:space="preserve">. </w:t>
            </w:r>
            <w:proofErr w:type="spellStart"/>
            <w:r>
              <w:rPr>
                <w:bCs/>
                <w:iCs/>
                <w:sz w:val="24"/>
                <w:szCs w:val="24"/>
                <w:lang w:val="en-US"/>
              </w:rPr>
              <w:t>Unesco</w:t>
            </w:r>
            <w:proofErr w:type="spellEnd"/>
            <w:r>
              <w:rPr>
                <w:bCs/>
                <w:iCs/>
                <w:sz w:val="24"/>
                <w:szCs w:val="24"/>
                <w:lang w:val="en-US"/>
              </w:rPr>
              <w:t xml:space="preserve"> Publishing, 1996</w:t>
            </w:r>
            <w:r w:rsidR="002D0743">
              <w:rPr>
                <w:bCs/>
                <w:iCs/>
                <w:sz w:val="24"/>
                <w:szCs w:val="24"/>
                <w:lang w:val="en-US"/>
              </w:rPr>
              <w:t>.</w:t>
            </w:r>
          </w:p>
          <w:p w:rsidR="00213251" w:rsidRDefault="00213251" w:rsidP="00625212">
            <w:pPr>
              <w:rPr>
                <w:bCs/>
                <w:iCs/>
                <w:sz w:val="24"/>
                <w:szCs w:val="24"/>
                <w:lang w:val="en-US"/>
              </w:rPr>
            </w:pPr>
            <w:r>
              <w:rPr>
                <w:bCs/>
                <w:iCs/>
                <w:sz w:val="24"/>
                <w:szCs w:val="24"/>
                <w:lang w:val="en-US"/>
              </w:rPr>
              <w:t xml:space="preserve">European Commission: </w:t>
            </w:r>
            <w:r>
              <w:rPr>
                <w:bCs/>
                <w:i/>
                <w:iCs/>
                <w:sz w:val="24"/>
                <w:szCs w:val="24"/>
                <w:lang w:val="en-US"/>
              </w:rPr>
              <w:t xml:space="preserve">A European area of lifelong learning. </w:t>
            </w:r>
            <w:r>
              <w:rPr>
                <w:bCs/>
                <w:iCs/>
                <w:sz w:val="24"/>
                <w:szCs w:val="24"/>
                <w:lang w:val="en-US"/>
              </w:rPr>
              <w:t>Luxembourg, 2002.</w:t>
            </w:r>
          </w:p>
          <w:p w:rsidR="00213251" w:rsidRDefault="00213251" w:rsidP="00625212">
            <w:pPr>
              <w:rPr>
                <w:bCs/>
                <w:iCs/>
                <w:sz w:val="24"/>
                <w:szCs w:val="24"/>
                <w:lang w:val="en-US"/>
              </w:rPr>
            </w:pPr>
            <w:r>
              <w:rPr>
                <w:bCs/>
                <w:iCs/>
                <w:sz w:val="24"/>
                <w:szCs w:val="24"/>
                <w:lang w:val="en-US"/>
              </w:rPr>
              <w:t xml:space="preserve">European Unit: </w:t>
            </w:r>
            <w:r>
              <w:rPr>
                <w:bCs/>
                <w:i/>
                <w:iCs/>
                <w:sz w:val="24"/>
                <w:szCs w:val="24"/>
                <w:lang w:val="en-US"/>
              </w:rPr>
              <w:t xml:space="preserve">Key Competencies. A Developing Concept in General Compulsory Education. </w:t>
            </w:r>
            <w:r>
              <w:rPr>
                <w:bCs/>
                <w:iCs/>
                <w:sz w:val="24"/>
                <w:szCs w:val="24"/>
                <w:lang w:val="en-US"/>
              </w:rPr>
              <w:t>Brussels, 2002.</w:t>
            </w:r>
          </w:p>
          <w:p w:rsidR="00625212" w:rsidRPr="00A979D6" w:rsidRDefault="00213251" w:rsidP="00625212">
            <w:pPr>
              <w:rPr>
                <w:bCs/>
                <w:iCs/>
                <w:sz w:val="24"/>
                <w:szCs w:val="24"/>
                <w:lang w:val="en-US"/>
              </w:rPr>
            </w:pPr>
            <w:proofErr w:type="spellStart"/>
            <w:r>
              <w:rPr>
                <w:bCs/>
                <w:iCs/>
                <w:sz w:val="24"/>
                <w:szCs w:val="24"/>
                <w:lang w:val="en-US"/>
              </w:rPr>
              <w:t>Rychen</w:t>
            </w:r>
            <w:proofErr w:type="spellEnd"/>
            <w:r>
              <w:rPr>
                <w:bCs/>
                <w:iCs/>
                <w:sz w:val="24"/>
                <w:szCs w:val="24"/>
                <w:lang w:val="en-US"/>
              </w:rPr>
              <w:t>, Dominique Simone –</w:t>
            </w:r>
            <w:proofErr w:type="spellStart"/>
            <w:r>
              <w:rPr>
                <w:bCs/>
                <w:iCs/>
                <w:sz w:val="24"/>
                <w:szCs w:val="24"/>
                <w:lang w:val="en-US"/>
              </w:rPr>
              <w:t>Salganik</w:t>
            </w:r>
            <w:proofErr w:type="spellEnd"/>
            <w:r>
              <w:rPr>
                <w:bCs/>
                <w:iCs/>
                <w:sz w:val="24"/>
                <w:szCs w:val="24"/>
                <w:lang w:val="en-US"/>
              </w:rPr>
              <w:t xml:space="preserve">, Laura Hersh (ed.): </w:t>
            </w:r>
            <w:r>
              <w:rPr>
                <w:bCs/>
                <w:i/>
                <w:iCs/>
                <w:sz w:val="24"/>
                <w:szCs w:val="24"/>
                <w:lang w:val="en-US"/>
              </w:rPr>
              <w:t xml:space="preserve">Key Competencies for a Successful Life and a Well-Functioning Society. </w:t>
            </w:r>
            <w:r>
              <w:rPr>
                <w:bCs/>
                <w:iCs/>
                <w:sz w:val="24"/>
                <w:szCs w:val="24"/>
                <w:lang w:val="en-US"/>
              </w:rPr>
              <w:t>Seattle-Toronto-Bern-Göttingen, 2003.</w:t>
            </w:r>
          </w:p>
        </w:tc>
      </w:tr>
    </w:tbl>
    <w:p w:rsidR="008D105C" w:rsidRDefault="00FC123D"/>
    <w:sectPr w:rsidR="008D105C" w:rsidSect="00792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D5ED7"/>
    <w:rsid w:val="00047622"/>
    <w:rsid w:val="001202AE"/>
    <w:rsid w:val="001A6F69"/>
    <w:rsid w:val="001C0E16"/>
    <w:rsid w:val="001C48C6"/>
    <w:rsid w:val="00213251"/>
    <w:rsid w:val="002B7AAB"/>
    <w:rsid w:val="002D0743"/>
    <w:rsid w:val="002D3740"/>
    <w:rsid w:val="002F277C"/>
    <w:rsid w:val="003E1B72"/>
    <w:rsid w:val="00420542"/>
    <w:rsid w:val="004D5ED7"/>
    <w:rsid w:val="00500436"/>
    <w:rsid w:val="00555644"/>
    <w:rsid w:val="005C3492"/>
    <w:rsid w:val="00624AB9"/>
    <w:rsid w:val="00625212"/>
    <w:rsid w:val="00683399"/>
    <w:rsid w:val="006C2C24"/>
    <w:rsid w:val="0079284D"/>
    <w:rsid w:val="007E317C"/>
    <w:rsid w:val="0081193C"/>
    <w:rsid w:val="008B2088"/>
    <w:rsid w:val="00937075"/>
    <w:rsid w:val="00942815"/>
    <w:rsid w:val="0095138B"/>
    <w:rsid w:val="00980E5A"/>
    <w:rsid w:val="009A1344"/>
    <w:rsid w:val="00A979D6"/>
    <w:rsid w:val="00B2217C"/>
    <w:rsid w:val="00B90061"/>
    <w:rsid w:val="00BB11EE"/>
    <w:rsid w:val="00CD60D9"/>
    <w:rsid w:val="00D13A0E"/>
    <w:rsid w:val="00D2334F"/>
    <w:rsid w:val="00D25ECB"/>
    <w:rsid w:val="00DC360B"/>
    <w:rsid w:val="00ED6D6A"/>
    <w:rsid w:val="00FC123D"/>
    <w:rsid w:val="00FF0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3CDE"/>
  <w15:docId w15:val="{C8D8B3E6-D540-7047-9399-F5F1207C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character" w:customStyle="1" w:styleId="shorttext">
    <w:name w:val="short_text"/>
    <w:basedOn w:val="Bekezdsalapbettpusa"/>
    <w:rsid w:val="00D25ECB"/>
  </w:style>
  <w:style w:type="character" w:styleId="Hiperhivatkozs">
    <w:name w:val="Hyperlink"/>
    <w:basedOn w:val="Bekezdsalapbettpusa"/>
    <w:uiPriority w:val="99"/>
    <w:unhideWhenUsed/>
    <w:rsid w:val="001A6F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82869">
      <w:bodyDiv w:val="1"/>
      <w:marLeft w:val="0"/>
      <w:marRight w:val="0"/>
      <w:marTop w:val="0"/>
      <w:marBottom w:val="0"/>
      <w:divBdr>
        <w:top w:val="none" w:sz="0" w:space="0" w:color="auto"/>
        <w:left w:val="none" w:sz="0" w:space="0" w:color="auto"/>
        <w:bottom w:val="none" w:sz="0" w:space="0" w:color="auto"/>
        <w:right w:val="none" w:sz="0" w:space="0" w:color="auto"/>
      </w:divBdr>
      <w:divsChild>
        <w:div w:id="1623657435">
          <w:marLeft w:val="0"/>
          <w:marRight w:val="0"/>
          <w:marTop w:val="280"/>
          <w:marBottom w:val="280"/>
          <w:divBdr>
            <w:top w:val="none" w:sz="0" w:space="0" w:color="auto"/>
            <w:left w:val="none" w:sz="0" w:space="0" w:color="auto"/>
            <w:bottom w:val="none" w:sz="0" w:space="0" w:color="auto"/>
            <w:right w:val="none" w:sz="0" w:space="0" w:color="auto"/>
          </w:divBdr>
        </w:div>
        <w:div w:id="1860898766">
          <w:marLeft w:val="0"/>
          <w:marRight w:val="0"/>
          <w:marTop w:val="280"/>
          <w:marBottom w:val="280"/>
          <w:divBdr>
            <w:top w:val="none" w:sz="0" w:space="0" w:color="auto"/>
            <w:left w:val="none" w:sz="0" w:space="0" w:color="auto"/>
            <w:bottom w:val="none" w:sz="0" w:space="0" w:color="auto"/>
            <w:right w:val="none" w:sz="0" w:space="0" w:color="auto"/>
          </w:divBdr>
        </w:div>
        <w:div w:id="1574663899">
          <w:marLeft w:val="0"/>
          <w:marRight w:val="0"/>
          <w:marTop w:val="280"/>
          <w:marBottom w:val="280"/>
          <w:divBdr>
            <w:top w:val="none" w:sz="0" w:space="0" w:color="auto"/>
            <w:left w:val="none" w:sz="0" w:space="0" w:color="auto"/>
            <w:bottom w:val="none" w:sz="0" w:space="0" w:color="auto"/>
            <w:right w:val="none" w:sz="0" w:space="0" w:color="auto"/>
          </w:divBdr>
        </w:div>
        <w:div w:id="1288590041">
          <w:marLeft w:val="0"/>
          <w:marRight w:val="0"/>
          <w:marTop w:val="280"/>
          <w:marBottom w:val="280"/>
          <w:divBdr>
            <w:top w:val="none" w:sz="0" w:space="0" w:color="auto"/>
            <w:left w:val="none" w:sz="0" w:space="0" w:color="auto"/>
            <w:bottom w:val="none" w:sz="0" w:space="0" w:color="auto"/>
            <w:right w:val="none" w:sz="0" w:space="0" w:color="auto"/>
          </w:divBdr>
        </w:div>
        <w:div w:id="2008745586">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253</Words>
  <Characters>1750</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Microsoft Office-felhasználó</cp:lastModifiedBy>
  <cp:revision>7</cp:revision>
  <cp:lastPrinted>2018-01-30T08:17:00Z</cp:lastPrinted>
  <dcterms:created xsi:type="dcterms:W3CDTF">2018-04-26T08:07:00Z</dcterms:created>
  <dcterms:modified xsi:type="dcterms:W3CDTF">2019-11-14T19:25:00Z</dcterms:modified>
</cp:coreProperties>
</file>