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AC4C8D">
            <w:pPr>
              <w:jc w:val="both"/>
              <w:rPr>
                <w:b/>
                <w:sz w:val="24"/>
                <w:szCs w:val="24"/>
                <w:lang w:val="en-US"/>
              </w:rPr>
            </w:pPr>
            <w:r w:rsidRPr="003716B5">
              <w:rPr>
                <w:bCs/>
                <w:i/>
                <w:sz w:val="24"/>
                <w:szCs w:val="24"/>
              </w:rPr>
              <w:t>Title and Code of Course</w:t>
            </w:r>
            <w:r w:rsidRPr="000C431E">
              <w:rPr>
                <w:bCs/>
                <w:sz w:val="24"/>
                <w:szCs w:val="24"/>
              </w:rPr>
              <w:t>:</w:t>
            </w:r>
            <w:r>
              <w:rPr>
                <w:bCs/>
                <w:sz w:val="24"/>
                <w:szCs w:val="24"/>
              </w:rPr>
              <w:t xml:space="preserve"> </w:t>
            </w:r>
            <w:r w:rsidR="00A85154">
              <w:rPr>
                <w:bCs/>
                <w:sz w:val="24"/>
                <w:szCs w:val="24"/>
              </w:rPr>
              <w:t>ERPB-</w:t>
            </w:r>
            <w:r w:rsidR="00AC4C8D">
              <w:rPr>
                <w:bCs/>
                <w:sz w:val="24"/>
                <w:szCs w:val="24"/>
              </w:rPr>
              <w:t>BAN 3352 Literary Theory: Alternative Canons: Postcolonial Literature and Culture</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r w:rsidRPr="003716B5">
              <w:rPr>
                <w:bCs/>
                <w:i/>
                <w:sz w:val="24"/>
              </w:rPr>
              <w:t>Instructor’s Name</w:t>
            </w:r>
            <w:r>
              <w:rPr>
                <w:bCs/>
                <w:sz w:val="24"/>
              </w:rPr>
              <w:t xml:space="preserve">: </w:t>
            </w:r>
            <w:r w:rsidR="00AC4C8D">
              <w:rPr>
                <w:bCs/>
                <w:sz w:val="24"/>
              </w:rPr>
              <w:t>Ágnes Györke</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r w:rsidRPr="003716B5">
              <w:rPr>
                <w:bCs/>
                <w:i/>
                <w:sz w:val="24"/>
              </w:rPr>
              <w:t>Instructor’s Email Address</w:t>
            </w:r>
            <w:r>
              <w:rPr>
                <w:bCs/>
                <w:sz w:val="24"/>
              </w:rPr>
              <w:t xml:space="preserve">: </w:t>
            </w:r>
            <w:r w:rsidR="00AC4C8D">
              <w:rPr>
                <w:bCs/>
                <w:sz w:val="24"/>
              </w:rPr>
              <w:t>gyorke.agnes@kre.hu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Credit Point Value:</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Number of Lessons per Week:       </w:t>
                  </w:r>
                  <w:r w:rsidRPr="00AB23C5">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r w:rsidRPr="00AB23C5">
                    <w:rPr>
                      <w:bCs/>
                      <w:sz w:val="24"/>
                    </w:rPr>
                    <w:t>Type of Course:</w:t>
                  </w:r>
                </w:p>
                <w:p w:rsidR="004D5ED7" w:rsidRDefault="004D5ED7" w:rsidP="00810B34">
                  <w:pPr>
                    <w:keepNext/>
                    <w:spacing w:before="60" w:after="60"/>
                    <w:jc w:val="center"/>
                    <w:outlineLvl w:val="2"/>
                    <w:rPr>
                      <w:b/>
                      <w:bCs/>
                      <w:sz w:val="24"/>
                    </w:rPr>
                  </w:pPr>
                  <w:r>
                    <w:rPr>
                      <w:b/>
                      <w:bCs/>
                      <w:sz w:val="24"/>
                    </w:rPr>
                    <w:t xml:space="preserve">Seminar  </w:t>
                  </w:r>
                  <w:sdt>
                    <w:sdtPr>
                      <w:rPr>
                        <w:b/>
                        <w:bCs/>
                        <w:sz w:val="24"/>
                      </w:rPr>
                      <w:id w:val="1573161157"/>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r>
                    <w:rPr>
                      <w:b/>
                      <w:bCs/>
                      <w:sz w:val="24"/>
                    </w:rPr>
                    <w:t xml:space="preserve">Lecture </w:t>
                  </w:r>
                  <w:sdt>
                    <w:sdtPr>
                      <w:rPr>
                        <w:b/>
                        <w:bCs/>
                        <w:sz w:val="24"/>
                      </w:rPr>
                      <w:id w:val="1457216956"/>
                      <w14:checkbox>
                        <w14:checked w14:val="1"/>
                        <w14:checkedState w14:val="2612" w14:font="MS Gothic"/>
                        <w14:uncheckedState w14:val="2610" w14:font="MS Gothic"/>
                      </w14:checkbox>
                    </w:sdtPr>
                    <w:sdtEndPr/>
                    <w:sdtContent>
                      <w:r w:rsidR="00AC4C8D">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r w:rsidRPr="00AB23C5">
                    <w:rPr>
                      <w:bCs/>
                      <w:sz w:val="24"/>
                    </w:rPr>
                    <w:t>Method of Evaluation:</w:t>
                  </w:r>
                </w:p>
                <w:p w:rsidR="004D5ED7" w:rsidRDefault="004D5ED7" w:rsidP="00810B34">
                  <w:pPr>
                    <w:keepNext/>
                    <w:spacing w:before="60" w:after="60"/>
                    <w:jc w:val="center"/>
                    <w:outlineLvl w:val="2"/>
                    <w:rPr>
                      <w:b/>
                      <w:bCs/>
                      <w:sz w:val="24"/>
                    </w:rPr>
                  </w:pPr>
                  <w:r>
                    <w:rPr>
                      <w:b/>
                      <w:bCs/>
                      <w:sz w:val="24"/>
                    </w:rPr>
                    <w:t xml:space="preserve">Oral Examination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 xml:space="preserve">In-Class Presentation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AC4C8D" w:rsidP="00810B34">
                  <w:pPr>
                    <w:keepNext/>
                    <w:spacing w:before="60" w:after="60"/>
                    <w:jc w:val="center"/>
                    <w:outlineLvl w:val="2"/>
                    <w:rPr>
                      <w:b/>
                      <w:bCs/>
                      <w:sz w:val="24"/>
                    </w:rPr>
                  </w:pPr>
                  <w:r>
                    <w:rPr>
                      <w:b/>
                      <w:bCs/>
                      <w:sz w:val="24"/>
                    </w:rPr>
                    <w:t>Written Examination</w:t>
                  </w:r>
                  <w:r w:rsidR="004D5ED7">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r>
              <w:rPr>
                <w:b/>
                <w:sz w:val="24"/>
              </w:rPr>
              <w:t>Course Description:</w:t>
            </w:r>
          </w:p>
          <w:p w:rsidR="004D5ED7" w:rsidRDefault="004D5ED7" w:rsidP="00810B34">
            <w:pPr>
              <w:ind w:left="283" w:right="293"/>
              <w:jc w:val="both"/>
              <w:rPr>
                <w:sz w:val="24"/>
                <w:szCs w:val="24"/>
                <w:lang w:val="en-US"/>
              </w:rPr>
            </w:pPr>
          </w:p>
          <w:p w:rsidR="00AC4C8D" w:rsidRDefault="00AC4C8D" w:rsidP="00AC4C8D">
            <w:pPr>
              <w:jc w:val="both"/>
              <w:rPr>
                <w:rFonts w:asciiTheme="minorHAnsi" w:hAnsiTheme="minorHAnsi" w:cstheme="minorHAnsi"/>
                <w:sz w:val="24"/>
                <w:szCs w:val="24"/>
                <w:lang w:val="en-GB"/>
              </w:rPr>
            </w:pPr>
            <w:r w:rsidRPr="00DA4C09">
              <w:rPr>
                <w:rFonts w:asciiTheme="minorHAnsi" w:hAnsiTheme="minorHAnsi" w:cstheme="minorHAnsi"/>
                <w:sz w:val="24"/>
                <w:szCs w:val="24"/>
                <w:lang w:val="en-GB"/>
              </w:rPr>
              <w:t>This course is designed to introduce students to histories and theories of (post)colonialism. After a few introductory lectures on colonialism and postcolonial cultures, key concepts and approaches will be discussed. The theories will be explored in the context of cultural phenomena: the theoretical approaches will be applied to the analysis of literary works listed in the syllabus. The course will explore issues such</w:t>
            </w:r>
            <w:bookmarkStart w:id="0" w:name="_GoBack"/>
            <w:bookmarkEnd w:id="0"/>
            <w:r w:rsidRPr="00DA4C09">
              <w:rPr>
                <w:rFonts w:asciiTheme="minorHAnsi" w:hAnsiTheme="minorHAnsi" w:cstheme="minorHAnsi"/>
                <w:sz w:val="24"/>
                <w:szCs w:val="24"/>
                <w:lang w:val="en-GB"/>
              </w:rPr>
              <w:t xml:space="preserve"> as orientalism, exoticization, stereotyping, emotional engagement, among others. Apart from exploring the cultural contexts of these texts, students will be encouraged to identify the narrative strategies the literary texts and artworks use in imagining “the other” as well as the affective responses the narratives evoke. The course will rely on a few key postcolonial texts (Bill Ashcroft’s, Edward Said’s writings, for instance) and it will also explore the main issues and concerns of the postcolonial world, such as displacement, multiculturalism, diasporic cultures, the significance of global comparative approaches, among others. </w:t>
            </w:r>
          </w:p>
          <w:p w:rsidR="004D5ED7" w:rsidRPr="00E236AE" w:rsidRDefault="004D5ED7" w:rsidP="00810B34">
            <w:pPr>
              <w:ind w:left="283" w:right="293"/>
              <w:jc w:val="both"/>
              <w:rPr>
                <w:sz w:val="24"/>
                <w:szCs w:val="24"/>
                <w:lang w:val="en-US"/>
              </w:rPr>
            </w:pPr>
          </w:p>
        </w:tc>
      </w:tr>
      <w:tr w:rsidR="004D5ED7" w:rsidTr="00A72CD6">
        <w:trPr>
          <w:cantSplit/>
          <w:trHeight w:val="4904"/>
        </w:trPr>
        <w:tc>
          <w:tcPr>
            <w:tcW w:w="9497" w:type="dxa"/>
          </w:tcPr>
          <w:p w:rsidR="004D5ED7" w:rsidRDefault="004D5ED7" w:rsidP="00810B34">
            <w:pPr>
              <w:rPr>
                <w:b/>
                <w:bCs/>
                <w:iCs/>
                <w:sz w:val="24"/>
                <w:szCs w:val="24"/>
                <w:lang w:val="en-US"/>
              </w:rPr>
            </w:pPr>
          </w:p>
          <w:p w:rsidR="00AC4C8D" w:rsidRPr="00A72CD6" w:rsidRDefault="00AC4C8D" w:rsidP="00AC4C8D">
            <w:pPr>
              <w:rPr>
                <w:rFonts w:asciiTheme="minorHAnsi" w:hAnsiTheme="minorHAnsi" w:cstheme="minorHAnsi"/>
                <w:b/>
                <w:bCs/>
                <w:iCs/>
                <w:sz w:val="24"/>
                <w:szCs w:val="24"/>
                <w:lang w:val="en-GB"/>
              </w:rPr>
            </w:pPr>
            <w:r w:rsidRPr="00AC4C8D">
              <w:rPr>
                <w:rFonts w:asciiTheme="minorHAnsi" w:hAnsiTheme="minorHAnsi" w:cstheme="minorHAnsi"/>
                <w:b/>
                <w:bCs/>
                <w:iCs/>
                <w:sz w:val="24"/>
                <w:szCs w:val="24"/>
                <w:lang w:val="en-GB"/>
              </w:rPr>
              <w:t xml:space="preserve">Primary sources: </w:t>
            </w:r>
          </w:p>
          <w:p w:rsidR="00AC4C8D" w:rsidRPr="00AC4C8D" w:rsidRDefault="00AC4C8D" w:rsidP="00AC4C8D">
            <w:pPr>
              <w:rPr>
                <w:rFonts w:asciiTheme="minorHAnsi" w:hAnsiTheme="minorHAnsi" w:cstheme="minorHAnsi"/>
                <w:bCs/>
                <w:iCs/>
                <w:sz w:val="24"/>
                <w:szCs w:val="24"/>
                <w:lang w:val="en-GB"/>
              </w:rPr>
            </w:pPr>
            <w:r w:rsidRPr="00AC4C8D">
              <w:rPr>
                <w:rFonts w:asciiTheme="minorHAnsi" w:hAnsiTheme="minorHAnsi" w:cstheme="minorHAnsi"/>
                <w:sz w:val="24"/>
                <w:szCs w:val="24"/>
                <w:lang w:val="en-GB" w:eastAsia="en-US"/>
              </w:rPr>
              <w:t xml:space="preserve">W. Shakespeare, </w:t>
            </w:r>
            <w:r w:rsidRPr="00AC4C8D">
              <w:rPr>
                <w:rFonts w:asciiTheme="minorHAnsi" w:hAnsiTheme="minorHAnsi" w:cstheme="minorHAnsi"/>
                <w:i/>
                <w:sz w:val="24"/>
                <w:szCs w:val="24"/>
                <w:lang w:val="en-GB" w:eastAsia="en-US"/>
              </w:rPr>
              <w:t>The Tempest</w:t>
            </w:r>
            <w:r w:rsidRPr="00AC4C8D">
              <w:rPr>
                <w:rFonts w:asciiTheme="minorHAnsi" w:hAnsiTheme="minorHAnsi" w:cstheme="minorHAnsi"/>
                <w:bCs/>
                <w:iCs/>
                <w:sz w:val="24"/>
                <w:szCs w:val="24"/>
                <w:lang w:val="en-GB"/>
              </w:rPr>
              <w:t xml:space="preserve">; </w:t>
            </w:r>
            <w:r w:rsidRPr="00AC4C8D">
              <w:rPr>
                <w:rFonts w:asciiTheme="minorHAnsi" w:hAnsiTheme="minorHAnsi" w:cstheme="minorHAnsi"/>
                <w:sz w:val="24"/>
                <w:szCs w:val="24"/>
                <w:lang w:val="en-GB"/>
              </w:rPr>
              <w:t>S. T. Coleridge, “Kubla Khan”</w:t>
            </w:r>
            <w:r>
              <w:rPr>
                <w:rFonts w:asciiTheme="minorHAnsi" w:hAnsiTheme="minorHAnsi" w:cstheme="minorHAnsi"/>
                <w:bCs/>
                <w:iCs/>
                <w:sz w:val="24"/>
                <w:szCs w:val="24"/>
                <w:lang w:val="en-GB"/>
              </w:rPr>
              <w:t>; excerpts from the following novels:</w:t>
            </w:r>
          </w:p>
          <w:p w:rsidR="00AC4C8D" w:rsidRDefault="00AC4C8D" w:rsidP="00810B34">
            <w:pPr>
              <w:rPr>
                <w:rFonts w:asciiTheme="minorHAnsi" w:hAnsiTheme="minorHAnsi" w:cstheme="minorHAnsi"/>
                <w:i/>
                <w:sz w:val="24"/>
                <w:szCs w:val="24"/>
                <w:lang w:val="en-GB"/>
              </w:rPr>
            </w:pPr>
            <w:r w:rsidRPr="00AC4C8D">
              <w:rPr>
                <w:rFonts w:asciiTheme="minorHAnsi" w:hAnsiTheme="minorHAnsi" w:cstheme="minorHAnsi"/>
                <w:sz w:val="24"/>
                <w:szCs w:val="24"/>
                <w:lang w:val="en-GB"/>
              </w:rPr>
              <w:t xml:space="preserve">V. S. Naipaul, </w:t>
            </w:r>
            <w:r w:rsidRPr="00AC4C8D">
              <w:rPr>
                <w:rFonts w:asciiTheme="minorHAnsi" w:hAnsiTheme="minorHAnsi" w:cstheme="minorHAnsi"/>
                <w:i/>
                <w:sz w:val="24"/>
                <w:szCs w:val="24"/>
                <w:lang w:val="en-GB"/>
              </w:rPr>
              <w:t xml:space="preserve">The Mimic Men; </w:t>
            </w:r>
            <w:r w:rsidRPr="00AC4C8D">
              <w:rPr>
                <w:rFonts w:asciiTheme="minorHAnsi" w:hAnsiTheme="minorHAnsi" w:cstheme="minorHAnsi"/>
                <w:sz w:val="24"/>
                <w:szCs w:val="24"/>
                <w:lang w:val="en-GB"/>
              </w:rPr>
              <w:t xml:space="preserve">Jean Rhys, </w:t>
            </w:r>
            <w:r w:rsidRPr="00AC4C8D">
              <w:rPr>
                <w:rFonts w:asciiTheme="minorHAnsi" w:hAnsiTheme="minorHAnsi" w:cstheme="minorHAnsi"/>
                <w:i/>
                <w:sz w:val="24"/>
                <w:szCs w:val="24"/>
                <w:lang w:val="en-GB"/>
              </w:rPr>
              <w:t xml:space="preserve">Wide Sargasso Sea; </w:t>
            </w:r>
            <w:r w:rsidRPr="00AC4C8D">
              <w:rPr>
                <w:rFonts w:asciiTheme="minorHAnsi" w:hAnsiTheme="minorHAnsi" w:cstheme="minorHAnsi"/>
                <w:sz w:val="24"/>
                <w:szCs w:val="24"/>
                <w:lang w:val="en-GB"/>
              </w:rPr>
              <w:t xml:space="preserve">Salman Rushdie, </w:t>
            </w:r>
            <w:r w:rsidRPr="00AC4C8D">
              <w:rPr>
                <w:rFonts w:asciiTheme="minorHAnsi" w:hAnsiTheme="minorHAnsi" w:cstheme="minorHAnsi"/>
                <w:i/>
                <w:sz w:val="24"/>
                <w:szCs w:val="24"/>
                <w:lang w:val="en-GB"/>
              </w:rPr>
              <w:t xml:space="preserve">Shame; </w:t>
            </w:r>
            <w:r w:rsidRPr="00AC4C8D">
              <w:rPr>
                <w:rFonts w:asciiTheme="minorHAnsi" w:hAnsiTheme="minorHAnsi" w:cstheme="minorHAnsi"/>
                <w:sz w:val="24"/>
                <w:szCs w:val="24"/>
                <w:lang w:val="en-GB"/>
              </w:rPr>
              <w:t xml:space="preserve">J. M. Coetzee, </w:t>
            </w:r>
            <w:r w:rsidRPr="00AC4C8D">
              <w:rPr>
                <w:rFonts w:asciiTheme="minorHAnsi" w:hAnsiTheme="minorHAnsi" w:cstheme="minorHAnsi"/>
                <w:i/>
                <w:sz w:val="24"/>
                <w:szCs w:val="24"/>
                <w:lang w:val="en-GB"/>
              </w:rPr>
              <w:t xml:space="preserve">Disgrace; </w:t>
            </w:r>
            <w:r w:rsidRPr="00AC4C8D">
              <w:rPr>
                <w:rFonts w:asciiTheme="minorHAnsi" w:hAnsiTheme="minorHAnsi" w:cstheme="minorHAnsi"/>
                <w:sz w:val="24"/>
                <w:szCs w:val="24"/>
                <w:lang w:val="en-GB"/>
              </w:rPr>
              <w:t xml:space="preserve">Monica Ali, </w:t>
            </w:r>
            <w:r w:rsidRPr="00AC4C8D">
              <w:rPr>
                <w:rFonts w:asciiTheme="minorHAnsi" w:hAnsiTheme="minorHAnsi" w:cstheme="minorHAnsi"/>
                <w:i/>
                <w:sz w:val="24"/>
                <w:szCs w:val="24"/>
                <w:lang w:val="en-GB"/>
              </w:rPr>
              <w:t xml:space="preserve">Brick Lane </w:t>
            </w:r>
            <w:r w:rsidRPr="00AC4C8D">
              <w:rPr>
                <w:rFonts w:asciiTheme="minorHAnsi" w:hAnsiTheme="minorHAnsi" w:cstheme="minorHAnsi"/>
                <w:sz w:val="24"/>
                <w:szCs w:val="24"/>
                <w:lang w:val="en-GB"/>
              </w:rPr>
              <w:t>(+ film)</w:t>
            </w:r>
            <w:r w:rsidRPr="00AC4C8D">
              <w:rPr>
                <w:rFonts w:asciiTheme="minorHAnsi" w:hAnsiTheme="minorHAnsi" w:cstheme="minorHAnsi"/>
                <w:i/>
                <w:sz w:val="24"/>
                <w:szCs w:val="24"/>
                <w:lang w:val="en-GB"/>
              </w:rPr>
              <w:t xml:space="preserve">; </w:t>
            </w:r>
            <w:r w:rsidRPr="00AC4C8D">
              <w:rPr>
                <w:rFonts w:asciiTheme="minorHAnsi" w:hAnsiTheme="minorHAnsi" w:cstheme="minorHAnsi"/>
                <w:sz w:val="24"/>
                <w:szCs w:val="24"/>
                <w:lang w:val="en-GB"/>
              </w:rPr>
              <w:t xml:space="preserve">Teju Cole, </w:t>
            </w:r>
            <w:r w:rsidRPr="00AC4C8D">
              <w:rPr>
                <w:rFonts w:asciiTheme="minorHAnsi" w:hAnsiTheme="minorHAnsi" w:cstheme="minorHAnsi"/>
                <w:i/>
                <w:sz w:val="24"/>
                <w:szCs w:val="24"/>
                <w:lang w:val="en-GB"/>
              </w:rPr>
              <w:t>The Open City</w:t>
            </w:r>
          </w:p>
          <w:p w:rsidR="00A72CD6" w:rsidRPr="00A72CD6" w:rsidRDefault="00A72CD6" w:rsidP="00810B34">
            <w:pPr>
              <w:rPr>
                <w:rFonts w:asciiTheme="minorHAnsi" w:hAnsiTheme="minorHAnsi" w:cstheme="minorHAnsi"/>
                <w:i/>
                <w:sz w:val="24"/>
                <w:szCs w:val="24"/>
                <w:lang w:val="en-GB"/>
              </w:rPr>
            </w:pPr>
          </w:p>
          <w:p w:rsidR="00AC4C8D" w:rsidRPr="00A72CD6" w:rsidRDefault="00AC4C8D" w:rsidP="00AC4C8D">
            <w:pPr>
              <w:rPr>
                <w:rFonts w:asciiTheme="minorHAnsi" w:hAnsiTheme="minorHAnsi" w:cstheme="minorHAnsi"/>
                <w:b/>
                <w:bCs/>
                <w:iCs/>
                <w:sz w:val="24"/>
                <w:szCs w:val="24"/>
                <w:lang w:val="en-GB"/>
              </w:rPr>
            </w:pPr>
            <w:r w:rsidRPr="00AC4C8D">
              <w:rPr>
                <w:rFonts w:asciiTheme="minorHAnsi" w:hAnsiTheme="minorHAnsi" w:cstheme="minorHAnsi"/>
                <w:b/>
                <w:bCs/>
                <w:iCs/>
                <w:sz w:val="24"/>
                <w:szCs w:val="24"/>
                <w:lang w:val="en-GB"/>
              </w:rPr>
              <w:t xml:space="preserve">Recommended readings: </w:t>
            </w:r>
          </w:p>
          <w:p w:rsidR="00AC4C8D" w:rsidRDefault="00AC4C8D" w:rsidP="00AC4C8D">
            <w:pPr>
              <w:ind w:left="709" w:hanging="709"/>
              <w:rPr>
                <w:rFonts w:asciiTheme="minorHAnsi" w:hAnsiTheme="minorHAnsi" w:cstheme="minorHAnsi"/>
                <w:sz w:val="24"/>
                <w:szCs w:val="24"/>
                <w:lang w:val="en-GB"/>
              </w:rPr>
            </w:pPr>
            <w:r w:rsidRPr="00AC4C8D">
              <w:rPr>
                <w:rFonts w:asciiTheme="minorHAnsi" w:hAnsiTheme="minorHAnsi" w:cstheme="minorHAnsi"/>
                <w:sz w:val="24"/>
                <w:szCs w:val="24"/>
                <w:lang w:val="en-GB"/>
              </w:rPr>
              <w:t xml:space="preserve">Ashcroft, Bill, Helen Tiffin and Garth Griffits. </w:t>
            </w:r>
            <w:r w:rsidRPr="00AC4C8D">
              <w:rPr>
                <w:rFonts w:asciiTheme="minorHAnsi" w:hAnsiTheme="minorHAnsi" w:cstheme="minorHAnsi"/>
                <w:i/>
                <w:sz w:val="24"/>
                <w:szCs w:val="24"/>
                <w:lang w:val="en-GB"/>
              </w:rPr>
              <w:t xml:space="preserve">The Empire Writes Back. </w:t>
            </w:r>
            <w:r w:rsidRPr="00AC4C8D">
              <w:rPr>
                <w:rFonts w:asciiTheme="minorHAnsi" w:hAnsiTheme="minorHAnsi" w:cstheme="minorHAnsi"/>
                <w:sz w:val="24"/>
                <w:szCs w:val="24"/>
                <w:lang w:val="en-GB"/>
              </w:rPr>
              <w:t>London: Routledge, 2002.</w:t>
            </w:r>
          </w:p>
          <w:p w:rsidR="00AC4C8D" w:rsidRDefault="00AC4C8D" w:rsidP="00AC4C8D">
            <w:pPr>
              <w:ind w:left="709" w:hanging="709"/>
              <w:rPr>
                <w:sz w:val="24"/>
                <w:szCs w:val="24"/>
                <w:lang w:val="en-GB"/>
              </w:rPr>
            </w:pPr>
            <w:r w:rsidRPr="00383AD9">
              <w:rPr>
                <w:sz w:val="24"/>
                <w:szCs w:val="24"/>
                <w:lang w:val="en-GB"/>
              </w:rPr>
              <w:t xml:space="preserve">Childs, Peter and Patrick Williams, </w:t>
            </w:r>
            <w:r w:rsidRPr="00383AD9">
              <w:rPr>
                <w:i/>
                <w:sz w:val="24"/>
                <w:szCs w:val="24"/>
                <w:lang w:val="en-GB"/>
              </w:rPr>
              <w:t>An Introduction to Post-Colonial Theory</w:t>
            </w:r>
            <w:r w:rsidRPr="00383AD9">
              <w:rPr>
                <w:sz w:val="24"/>
                <w:szCs w:val="24"/>
                <w:lang w:val="en-GB"/>
              </w:rPr>
              <w:t xml:space="preserve">. Harlow: Longman, 1997. </w:t>
            </w:r>
          </w:p>
          <w:p w:rsidR="00A72CD6" w:rsidRPr="00346BA0" w:rsidRDefault="00A72CD6" w:rsidP="00A72CD6">
            <w:pPr>
              <w:ind w:left="709" w:hanging="709"/>
              <w:rPr>
                <w:sz w:val="24"/>
                <w:szCs w:val="24"/>
                <w:lang w:val="en-GB"/>
              </w:rPr>
            </w:pPr>
            <w:r>
              <w:rPr>
                <w:sz w:val="24"/>
                <w:szCs w:val="24"/>
                <w:lang w:val="en-GB"/>
              </w:rPr>
              <w:t xml:space="preserve">Cohen, Robin and Carolin Fischer, ed. </w:t>
            </w:r>
            <w:r>
              <w:rPr>
                <w:i/>
                <w:sz w:val="24"/>
                <w:szCs w:val="24"/>
                <w:lang w:val="en-GB"/>
              </w:rPr>
              <w:t xml:space="preserve">The Routledge Handbook of Diaspora Studies. </w:t>
            </w:r>
            <w:r>
              <w:rPr>
                <w:sz w:val="24"/>
                <w:szCs w:val="24"/>
                <w:lang w:val="en-GB"/>
              </w:rPr>
              <w:t xml:space="preserve">London: Routledge, 2018. </w:t>
            </w:r>
          </w:p>
          <w:p w:rsidR="00A72CD6" w:rsidRDefault="00A72CD6" w:rsidP="00A72CD6">
            <w:pPr>
              <w:ind w:left="709" w:hanging="709"/>
              <w:rPr>
                <w:rFonts w:ascii="Cambria" w:hAnsi="Cambria"/>
                <w:sz w:val="24"/>
                <w:szCs w:val="24"/>
                <w:lang w:val="en-GB"/>
              </w:rPr>
            </w:pPr>
            <w:r w:rsidRPr="003D05CB">
              <w:rPr>
                <w:rFonts w:ascii="Cambria" w:hAnsi="Cambria"/>
                <w:sz w:val="24"/>
                <w:szCs w:val="24"/>
                <w:lang w:val="en-GB"/>
              </w:rPr>
              <w:t xml:space="preserve">Jacobs, Jane M. </w:t>
            </w:r>
            <w:r w:rsidRPr="003D05CB">
              <w:rPr>
                <w:rFonts w:ascii="Cambria" w:hAnsi="Cambria"/>
                <w:i/>
                <w:sz w:val="24"/>
                <w:szCs w:val="24"/>
                <w:lang w:val="en-GB"/>
              </w:rPr>
              <w:t>Edge of Empire: Postcolonialism and the City</w:t>
            </w:r>
            <w:r w:rsidRPr="003D05CB">
              <w:rPr>
                <w:rFonts w:ascii="Cambria" w:hAnsi="Cambria"/>
                <w:sz w:val="24"/>
                <w:szCs w:val="24"/>
                <w:lang w:val="en-GB"/>
              </w:rPr>
              <w:t>. London: Routledge, 1996.</w:t>
            </w:r>
          </w:p>
          <w:p w:rsidR="00A72CD6" w:rsidRDefault="00A72CD6" w:rsidP="00A72CD6">
            <w:pPr>
              <w:ind w:left="709" w:hanging="709"/>
              <w:rPr>
                <w:rFonts w:ascii="Cambria" w:hAnsi="Cambria"/>
                <w:sz w:val="24"/>
                <w:szCs w:val="24"/>
                <w:lang w:val="en-GB"/>
              </w:rPr>
            </w:pPr>
            <w:r w:rsidRPr="003D05CB">
              <w:rPr>
                <w:rFonts w:ascii="Cambria" w:hAnsi="Cambria"/>
                <w:sz w:val="24"/>
                <w:szCs w:val="24"/>
                <w:lang w:val="en-GB"/>
              </w:rPr>
              <w:t xml:space="preserve">McLeod, John. </w:t>
            </w:r>
            <w:r w:rsidRPr="003D05CB">
              <w:rPr>
                <w:rFonts w:ascii="Cambria" w:hAnsi="Cambria"/>
                <w:i/>
                <w:sz w:val="24"/>
                <w:szCs w:val="24"/>
                <w:lang w:val="en-GB"/>
              </w:rPr>
              <w:t xml:space="preserve">Beginning Postcolonialism. </w:t>
            </w:r>
            <w:r w:rsidRPr="003D05CB">
              <w:rPr>
                <w:rFonts w:ascii="Cambria" w:hAnsi="Cambria"/>
                <w:sz w:val="24"/>
                <w:szCs w:val="24"/>
                <w:lang w:val="en-GB"/>
              </w:rPr>
              <w:t>Manchester: Mancester UP, 2000.</w:t>
            </w:r>
          </w:p>
          <w:p w:rsidR="00A72CD6" w:rsidRPr="009B3DF2" w:rsidRDefault="00A72CD6" w:rsidP="00A72CD6">
            <w:pPr>
              <w:ind w:left="709" w:hanging="709"/>
              <w:rPr>
                <w:rFonts w:ascii="Cambria" w:hAnsi="Cambria"/>
                <w:sz w:val="24"/>
                <w:szCs w:val="24"/>
                <w:lang w:val="en-GB"/>
              </w:rPr>
            </w:pPr>
            <w:r>
              <w:rPr>
                <w:rFonts w:ascii="Cambria" w:hAnsi="Cambria"/>
                <w:sz w:val="24"/>
                <w:szCs w:val="24"/>
                <w:lang w:val="en-GB"/>
              </w:rPr>
              <w:t xml:space="preserve">Said, Edward. </w:t>
            </w:r>
            <w:r>
              <w:rPr>
                <w:rFonts w:ascii="Cambria" w:hAnsi="Cambria"/>
                <w:i/>
                <w:sz w:val="24"/>
                <w:szCs w:val="24"/>
                <w:lang w:val="en-GB"/>
              </w:rPr>
              <w:t xml:space="preserve">Orientalism. </w:t>
            </w:r>
            <w:r>
              <w:rPr>
                <w:rFonts w:ascii="Cambria" w:hAnsi="Cambria"/>
                <w:sz w:val="24"/>
                <w:szCs w:val="24"/>
                <w:lang w:val="en-GB"/>
              </w:rPr>
              <w:t xml:space="preserve">London: Penguin, 2003. </w:t>
            </w:r>
          </w:p>
          <w:p w:rsidR="00A72CD6" w:rsidRPr="003D05CB" w:rsidRDefault="00A72CD6" w:rsidP="00A72CD6">
            <w:pPr>
              <w:ind w:left="709" w:hanging="709"/>
              <w:rPr>
                <w:rFonts w:ascii="Cambria" w:hAnsi="Cambria"/>
                <w:sz w:val="24"/>
                <w:szCs w:val="24"/>
                <w:lang w:val="en-GB"/>
              </w:rPr>
            </w:pPr>
            <w:r w:rsidRPr="003D05CB">
              <w:rPr>
                <w:rFonts w:ascii="Cambria" w:hAnsi="Cambria"/>
                <w:sz w:val="24"/>
                <w:szCs w:val="24"/>
                <w:lang w:val="en-GB"/>
              </w:rPr>
              <w:t xml:space="preserve"> </w:t>
            </w:r>
          </w:p>
          <w:p w:rsidR="00A72CD6" w:rsidRDefault="00A72CD6" w:rsidP="00AC4C8D">
            <w:pPr>
              <w:ind w:left="709" w:hanging="709"/>
              <w:rPr>
                <w:sz w:val="24"/>
                <w:szCs w:val="24"/>
                <w:lang w:val="en-GB"/>
              </w:rPr>
            </w:pPr>
          </w:p>
          <w:p w:rsidR="004D5ED7" w:rsidRPr="00A72CD6" w:rsidRDefault="004D5ED7" w:rsidP="00A72CD6">
            <w:pPr>
              <w:rPr>
                <w:rFonts w:asciiTheme="minorHAnsi" w:hAnsiTheme="minorHAnsi" w:cstheme="minorHAnsi"/>
                <w:sz w:val="24"/>
                <w:szCs w:val="24"/>
                <w:lang w:val="en-GB"/>
              </w:rPr>
            </w:pPr>
          </w:p>
        </w:tc>
      </w:tr>
    </w:tbl>
    <w:p w:rsidR="008D105C" w:rsidRDefault="005762E1" w:rsidP="00A72CD6"/>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144DF6"/>
    <w:rsid w:val="004D5ED7"/>
    <w:rsid w:val="005762E1"/>
    <w:rsid w:val="006C2C24"/>
    <w:rsid w:val="00A72CD6"/>
    <w:rsid w:val="00A85154"/>
    <w:rsid w:val="00AC4C8D"/>
    <w:rsid w:val="00B14FD4"/>
    <w:rsid w:val="00D2334F"/>
    <w:rsid w:val="00DF0C33"/>
    <w:rsid w:val="00E565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533F6-CE04-4D37-B450-3DC0BB4E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2012</Characters>
  <Application>Microsoft Office Word</Application>
  <DocSecurity>4</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KRE-BTK</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Tóth Dóra</cp:lastModifiedBy>
  <cp:revision>2</cp:revision>
  <dcterms:created xsi:type="dcterms:W3CDTF">2019-12-09T14:38:00Z</dcterms:created>
  <dcterms:modified xsi:type="dcterms:W3CDTF">2019-12-09T14:38:00Z</dcterms:modified>
</cp:coreProperties>
</file>