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B1A2C" w:rsidRPr="005B0B3C" w14:paraId="3F6A2DA0" w14:textId="77777777" w:rsidTr="002007FE">
        <w:trPr>
          <w:gridAfter w:val="1"/>
          <w:wAfter w:w="2409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E04956" w14:textId="77777777" w:rsidR="00AB1A2C" w:rsidRPr="005B0B3C" w:rsidRDefault="00AB1A2C" w:rsidP="002007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0B3C">
              <w:rPr>
                <w:b/>
                <w:sz w:val="22"/>
                <w:szCs w:val="22"/>
              </w:rPr>
              <w:t xml:space="preserve">(5.) Tantárgy </w:t>
            </w:r>
            <w:r w:rsidRPr="005B0B3C">
              <w:rPr>
                <w:sz w:val="22"/>
                <w:szCs w:val="22"/>
              </w:rPr>
              <w:t xml:space="preserve">neve: </w:t>
            </w:r>
            <w:proofErr w:type="spellStart"/>
            <w:r w:rsidRPr="005B0B3C">
              <w:rPr>
                <w:b/>
                <w:sz w:val="22"/>
                <w:szCs w:val="22"/>
              </w:rPr>
              <w:t>Biblical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Greek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II: </w:t>
            </w:r>
            <w:proofErr w:type="spellStart"/>
            <w:r w:rsidRPr="005B0B3C">
              <w:rPr>
                <w:b/>
                <w:sz w:val="22"/>
                <w:szCs w:val="22"/>
              </w:rPr>
              <w:t>Morphology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b/>
                <w:sz w:val="22"/>
                <w:szCs w:val="22"/>
              </w:rPr>
              <w:t>Syntax</w:t>
            </w:r>
            <w:proofErr w:type="spellEnd"/>
          </w:p>
        </w:tc>
      </w:tr>
      <w:tr w:rsidR="00AB1A2C" w:rsidRPr="005B0B3C" w14:paraId="30A00436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5349B" w14:textId="77777777" w:rsidR="00AB1A2C" w:rsidRPr="005B0B3C" w:rsidRDefault="00AB1A2C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besorolása</w:t>
            </w:r>
            <w:r w:rsidRPr="005B0B3C">
              <w:rPr>
                <w:sz w:val="22"/>
                <w:szCs w:val="22"/>
              </w:rPr>
              <w:t xml:space="preserve">: </w:t>
            </w:r>
            <w:r w:rsidRPr="00951410">
              <w:rPr>
                <w:b/>
                <w:sz w:val="22"/>
                <w:szCs w:val="22"/>
              </w:rPr>
              <w:t>kötelezően válaszható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B0B3C">
              <w:rPr>
                <w:b/>
                <w:sz w:val="22"/>
                <w:szCs w:val="22"/>
              </w:rPr>
              <w:t>compulsory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B1A2C" w:rsidRPr="005B0B3C" w14:paraId="5A45091B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CE66A9" w14:textId="77777777" w:rsidR="00AB1A2C" w:rsidRPr="005B0B3C" w:rsidRDefault="00AB1A2C" w:rsidP="002007FE">
            <w:pPr>
              <w:suppressAutoHyphens/>
              <w:spacing w:before="40"/>
              <w:jc w:val="both"/>
              <w:rPr>
                <w:sz w:val="22"/>
                <w:szCs w:val="22"/>
              </w:rPr>
            </w:pPr>
            <w:r w:rsidRPr="005B0B3C">
              <w:rPr>
                <w:b/>
                <w:sz w:val="22"/>
                <w:szCs w:val="22"/>
              </w:rPr>
              <w:t>A tantárgy elméleti vagy gyakorlati jellegének mértéke, „</w:t>
            </w:r>
            <w:r w:rsidRPr="005B0B3C">
              <w:rPr>
                <w:b/>
                <w:i/>
                <w:sz w:val="22"/>
                <w:szCs w:val="22"/>
              </w:rPr>
              <w:t>képzési karaktere</w:t>
            </w:r>
            <w:r w:rsidRPr="005B0B3C">
              <w:rPr>
                <w:b/>
                <w:sz w:val="22"/>
                <w:szCs w:val="22"/>
              </w:rPr>
              <w:t>”</w:t>
            </w:r>
            <w:r w:rsidRPr="005B0B3C">
              <w:rPr>
                <w:sz w:val="22"/>
                <w:szCs w:val="22"/>
              </w:rPr>
              <w:t xml:space="preserve"> </w:t>
            </w:r>
            <w:r w:rsidRPr="00B46B06">
              <w:rPr>
                <w:b/>
                <w:sz w:val="22"/>
                <w:szCs w:val="22"/>
              </w:rPr>
              <w:t>50-50</w:t>
            </w:r>
            <w:r w:rsidRPr="005B0B3C">
              <w:rPr>
                <w:b/>
                <w:sz w:val="22"/>
                <w:szCs w:val="22"/>
              </w:rPr>
              <w:t xml:space="preserve"> </w:t>
            </w:r>
            <w:r w:rsidRPr="005B0B3C">
              <w:rPr>
                <w:sz w:val="22"/>
                <w:szCs w:val="22"/>
              </w:rPr>
              <w:t>(kredit%)</w:t>
            </w:r>
          </w:p>
        </w:tc>
      </w:tr>
      <w:tr w:rsidR="00AB1A2C" w:rsidRPr="005B0B3C" w14:paraId="127F1A26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7B34FD" w14:textId="77777777" w:rsidR="00AB1A2C" w:rsidRPr="005B0B3C" w:rsidRDefault="00AB1A2C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>tanóra</w:t>
            </w:r>
            <w:r w:rsidRPr="005B0B3C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5B0B3C">
              <w:rPr>
                <w:b/>
                <w:sz w:val="22"/>
                <w:szCs w:val="22"/>
              </w:rPr>
              <w:t xml:space="preserve"> típusa</w:t>
            </w:r>
            <w:r w:rsidRPr="005B0B3C">
              <w:rPr>
                <w:sz w:val="22"/>
                <w:szCs w:val="22"/>
              </w:rPr>
              <w:t xml:space="preserve">: szem. és </w:t>
            </w:r>
            <w:r w:rsidRPr="005B0B3C">
              <w:rPr>
                <w:b/>
                <w:sz w:val="22"/>
                <w:szCs w:val="22"/>
              </w:rPr>
              <w:t>óraszáma</w:t>
            </w:r>
            <w:r w:rsidRPr="005B0B3C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60</w:t>
            </w:r>
            <w:r w:rsidRPr="005B0B3C">
              <w:rPr>
                <w:b/>
                <w:sz w:val="22"/>
                <w:szCs w:val="22"/>
              </w:rPr>
              <w:t xml:space="preserve"> </w:t>
            </w:r>
            <w:r w:rsidRPr="005B0B3C">
              <w:rPr>
                <w:sz w:val="22"/>
                <w:szCs w:val="22"/>
              </w:rPr>
              <w:t xml:space="preserve">az adott </w:t>
            </w:r>
            <w:r w:rsidRPr="005B0B3C">
              <w:rPr>
                <w:b/>
                <w:sz w:val="22"/>
                <w:szCs w:val="22"/>
              </w:rPr>
              <w:t>félévben</w:t>
            </w:r>
            <w:r w:rsidRPr="005B0B3C">
              <w:rPr>
                <w:sz w:val="22"/>
                <w:szCs w:val="22"/>
              </w:rPr>
              <w:t>,</w:t>
            </w:r>
          </w:p>
          <w:p w14:paraId="02ACA222" w14:textId="77777777" w:rsidR="00AB1A2C" w:rsidRPr="005B0B3C" w:rsidRDefault="00AB1A2C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5B0B3C">
              <w:rPr>
                <w:b/>
                <w:sz w:val="22"/>
                <w:szCs w:val="22"/>
              </w:rPr>
              <w:t>nyelve</w:t>
            </w:r>
            <w:r w:rsidRPr="005B0B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B4CC9">
              <w:rPr>
                <w:b/>
                <w:sz w:val="22"/>
                <w:szCs w:val="22"/>
                <w:highlight w:val="yellow"/>
              </w:rPr>
              <w:t>angol</w:t>
            </w:r>
            <w:r w:rsidRPr="008B4CC9">
              <w:rPr>
                <w:i/>
                <w:sz w:val="22"/>
                <w:szCs w:val="22"/>
                <w:highlight w:val="yellow"/>
              </w:rPr>
              <w:t xml:space="preserve"> (</w:t>
            </w:r>
            <w:r w:rsidRPr="008B4CC9">
              <w:rPr>
                <w:b/>
                <w:i/>
                <w:sz w:val="22"/>
                <w:szCs w:val="22"/>
                <w:highlight w:val="yellow"/>
              </w:rPr>
              <w:t>English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5B0B3C">
              <w:rPr>
                <w:sz w:val="22"/>
                <w:szCs w:val="22"/>
              </w:rPr>
              <w:t xml:space="preserve"> </w:t>
            </w:r>
          </w:p>
          <w:p w14:paraId="33D4AC1F" w14:textId="77777777" w:rsidR="00AB1A2C" w:rsidRPr="005B0B3C" w:rsidRDefault="00AB1A2C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adott ismeret átadásában alkalmazandó </w:t>
            </w:r>
            <w:r w:rsidRPr="005B0B3C">
              <w:rPr>
                <w:b/>
                <w:sz w:val="22"/>
                <w:szCs w:val="22"/>
              </w:rPr>
              <w:t>további</w:t>
            </w:r>
            <w:r w:rsidRPr="005B0B3C">
              <w:rPr>
                <w:sz w:val="22"/>
                <w:szCs w:val="22"/>
              </w:rPr>
              <w:t xml:space="preserve"> 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>módok, jellemzők</w:t>
            </w:r>
            <w:r w:rsidRPr="005B0B3C">
              <w:rPr>
                <w:sz w:val="22"/>
                <w:szCs w:val="22"/>
              </w:rPr>
              <w:t>:</w:t>
            </w:r>
          </w:p>
          <w:p w14:paraId="00DBFCD5" w14:textId="77777777" w:rsidR="00AB1A2C" w:rsidRPr="005B0B3C" w:rsidRDefault="00AB1A2C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Interactive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lecture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study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groups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presentations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by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readings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written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tests</w:t>
            </w:r>
            <w:proofErr w:type="spellEnd"/>
          </w:p>
        </w:tc>
      </w:tr>
      <w:tr w:rsidR="00AB1A2C" w:rsidRPr="005B0B3C" w14:paraId="459B948C" w14:textId="77777777" w:rsidTr="002007FE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1AE213" w14:textId="77777777" w:rsidR="00AB1A2C" w:rsidRPr="005B0B3C" w:rsidRDefault="00AB1A2C" w:rsidP="002007FE">
            <w:pPr>
              <w:suppressAutoHyphens/>
              <w:spacing w:before="60"/>
              <w:rPr>
                <w:b/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 xml:space="preserve">számonkérés </w:t>
            </w:r>
            <w:r w:rsidRPr="005B0B3C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gyj</w:t>
            </w:r>
            <w:proofErr w:type="spellEnd"/>
            <w:r w:rsidRPr="005B0B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5B0B3C">
              <w:rPr>
                <w:sz w:val="22"/>
                <w:szCs w:val="22"/>
              </w:rPr>
              <w:t>seminar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with</w:t>
            </w:r>
            <w:proofErr w:type="spellEnd"/>
            <w:r w:rsidRPr="005B0B3C">
              <w:rPr>
                <w:sz w:val="22"/>
                <w:szCs w:val="22"/>
              </w:rPr>
              <w:t xml:space="preserve"> end </w:t>
            </w:r>
            <w:proofErr w:type="spellStart"/>
            <w:r w:rsidRPr="005B0B3C">
              <w:rPr>
                <w:sz w:val="22"/>
                <w:szCs w:val="22"/>
              </w:rPr>
              <w:t>exam</w:t>
            </w:r>
            <w:proofErr w:type="spellEnd"/>
            <w:r w:rsidRPr="005B0B3C">
              <w:rPr>
                <w:sz w:val="22"/>
                <w:szCs w:val="22"/>
              </w:rPr>
              <w:t>)</w:t>
            </w:r>
          </w:p>
          <w:p w14:paraId="6F5FAFB4" w14:textId="77777777" w:rsidR="00AB1A2C" w:rsidRPr="005B0B3C" w:rsidRDefault="00AB1A2C" w:rsidP="002007FE">
            <w:pPr>
              <w:suppressAutoHyphens/>
              <w:spacing w:before="60"/>
              <w:rPr>
                <w:color w:val="000000"/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ismeretellenőrzésben alkalmazandó </w:t>
            </w:r>
            <w:r w:rsidRPr="005B0B3C">
              <w:rPr>
                <w:b/>
                <w:sz w:val="22"/>
                <w:szCs w:val="22"/>
              </w:rPr>
              <w:t xml:space="preserve">további </w:t>
            </w: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>módok</w:t>
            </w:r>
            <w:r w:rsidRPr="005B0B3C">
              <w:rPr>
                <w:b/>
                <w:color w:val="333399"/>
                <w:sz w:val="22"/>
                <w:szCs w:val="22"/>
              </w:rPr>
              <w:t xml:space="preserve">: </w:t>
            </w:r>
            <w:r w:rsidRPr="005B0B3C">
              <w:rPr>
                <w:color w:val="000000"/>
                <w:sz w:val="22"/>
                <w:szCs w:val="22"/>
              </w:rPr>
              <w:t xml:space="preserve"> </w:t>
            </w:r>
          </w:p>
          <w:p w14:paraId="44E488CF" w14:textId="77777777" w:rsidR="00AB1A2C" w:rsidRPr="005B0B3C" w:rsidRDefault="00AB1A2C" w:rsidP="002007FE">
            <w:pPr>
              <w:suppressAutoHyphens/>
              <w:spacing w:before="60"/>
              <w:rPr>
                <w:color w:val="000000"/>
                <w:sz w:val="22"/>
                <w:szCs w:val="22"/>
              </w:rPr>
            </w:pPr>
            <w:r w:rsidRPr="005B0B3C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Class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attendance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participation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quizzes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memoriters</w:t>
            </w:r>
            <w:proofErr w:type="spellEnd"/>
          </w:p>
          <w:p w14:paraId="0E614B8A" w14:textId="77777777" w:rsidR="00AB1A2C" w:rsidRPr="005B0B3C" w:rsidRDefault="00AB1A2C" w:rsidP="002007FE">
            <w:pPr>
              <w:suppressAutoHyphens/>
              <w:rPr>
                <w:color w:val="333399"/>
                <w:sz w:val="22"/>
                <w:szCs w:val="22"/>
              </w:rPr>
            </w:pPr>
            <w:r w:rsidRPr="005B0B3C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Final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exam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at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end of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semester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A2C" w:rsidRPr="005B0B3C" w14:paraId="68B43AF6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E8729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tantervi helye</w:t>
            </w:r>
            <w:r w:rsidRPr="005B0B3C">
              <w:rPr>
                <w:sz w:val="22"/>
                <w:szCs w:val="22"/>
              </w:rPr>
              <w:t xml:space="preserve"> (hányadik félév):</w:t>
            </w:r>
            <w:r w:rsidRPr="00B46B06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 xml:space="preserve"> (2nd </w:t>
            </w:r>
            <w:proofErr w:type="spellStart"/>
            <w:r>
              <w:rPr>
                <w:b/>
                <w:sz w:val="22"/>
                <w:szCs w:val="22"/>
              </w:rPr>
              <w:t>semester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5B0B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1A2C" w:rsidRPr="005B0B3C" w14:paraId="6859BFA6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6CE00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Előtanulmányi feltételek </w:t>
            </w:r>
            <w:r w:rsidRPr="005B0B3C">
              <w:rPr>
                <w:i/>
                <w:sz w:val="22"/>
                <w:szCs w:val="22"/>
              </w:rPr>
              <w:t>(ha vannak)</w:t>
            </w:r>
            <w:r w:rsidRPr="005B0B3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Biblical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Greek</w:t>
            </w:r>
            <w:proofErr w:type="spellEnd"/>
            <w:r>
              <w:rPr>
                <w:b/>
                <w:sz w:val="22"/>
                <w:szCs w:val="22"/>
              </w:rPr>
              <w:t xml:space="preserve"> I.: </w:t>
            </w:r>
            <w:proofErr w:type="spellStart"/>
            <w:r w:rsidRPr="005B0B3C">
              <w:rPr>
                <w:b/>
                <w:sz w:val="22"/>
                <w:szCs w:val="22"/>
              </w:rPr>
              <w:t>Introduction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to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b/>
                <w:sz w:val="22"/>
                <w:szCs w:val="22"/>
              </w:rPr>
              <w:t>Greek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Morphology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1A2C" w:rsidRPr="0013529E" w14:paraId="43839E9D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1A217D" w14:textId="77777777" w:rsidR="00AB1A2C" w:rsidRPr="0013529E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>Tantárgy-leírás</w:t>
            </w:r>
            <w:r w:rsidRPr="005B0B3C">
              <w:rPr>
                <w:sz w:val="22"/>
                <w:szCs w:val="22"/>
              </w:rPr>
              <w:t xml:space="preserve">: az elsajátítandó </w:t>
            </w:r>
            <w:r w:rsidRPr="0013529E">
              <w:rPr>
                <w:sz w:val="22"/>
                <w:szCs w:val="22"/>
              </w:rPr>
              <w:t>ismeretanyag tömör, ugyanakkor informáló leírása</w:t>
            </w:r>
          </w:p>
        </w:tc>
      </w:tr>
      <w:tr w:rsidR="00AB1A2C" w:rsidRPr="005B0B3C" w14:paraId="6C3DE115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68BD96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This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 is a </w:t>
            </w:r>
            <w:proofErr w:type="spellStart"/>
            <w:r w:rsidRPr="005B0B3C">
              <w:rPr>
                <w:sz w:val="22"/>
                <w:szCs w:val="22"/>
              </w:rPr>
              <w:t>sequel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“</w:t>
            </w:r>
            <w:proofErr w:type="spellStart"/>
            <w:r w:rsidRPr="005B0B3C">
              <w:rPr>
                <w:sz w:val="22"/>
                <w:szCs w:val="22"/>
              </w:rPr>
              <w:t>Introduction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sz w:val="22"/>
                <w:szCs w:val="22"/>
              </w:rPr>
              <w:t>Greek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Morphology</w:t>
            </w:r>
            <w:proofErr w:type="spellEnd"/>
            <w:r w:rsidRPr="005B0B3C">
              <w:rPr>
                <w:sz w:val="22"/>
                <w:szCs w:val="22"/>
              </w:rPr>
              <w:t xml:space="preserve">” and </w:t>
            </w:r>
            <w:proofErr w:type="spellStart"/>
            <w:r w:rsidRPr="005B0B3C">
              <w:rPr>
                <w:sz w:val="22"/>
                <w:szCs w:val="22"/>
              </w:rPr>
              <w:t>it</w:t>
            </w:r>
            <w:proofErr w:type="spellEnd"/>
            <w:r w:rsidRPr="005B0B3C">
              <w:rPr>
                <w:sz w:val="22"/>
                <w:szCs w:val="22"/>
              </w:rPr>
              <w:t xml:space="preserve"> is </w:t>
            </w:r>
            <w:proofErr w:type="spellStart"/>
            <w:r w:rsidRPr="005B0B3C">
              <w:rPr>
                <w:sz w:val="22"/>
                <w:szCs w:val="22"/>
              </w:rPr>
              <w:t>considered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be a preparation </w:t>
            </w:r>
            <w:proofErr w:type="spellStart"/>
            <w:r w:rsidRPr="005B0B3C">
              <w:rPr>
                <w:sz w:val="22"/>
                <w:szCs w:val="22"/>
              </w:rPr>
              <w:t>for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more </w:t>
            </w:r>
            <w:proofErr w:type="spellStart"/>
            <w:r w:rsidRPr="005B0B3C">
              <w:rPr>
                <w:sz w:val="22"/>
                <w:szCs w:val="22"/>
              </w:rPr>
              <w:t>advanced</w:t>
            </w:r>
            <w:proofErr w:type="spellEnd"/>
            <w:r w:rsidRPr="005B0B3C">
              <w:rPr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sz w:val="22"/>
                <w:szCs w:val="22"/>
              </w:rPr>
              <w:t>Exegetical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Hermeneutical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courses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Program. Building </w:t>
            </w:r>
            <w:proofErr w:type="spellStart"/>
            <w:r w:rsidRPr="005B0B3C">
              <w:rPr>
                <w:sz w:val="22"/>
                <w:szCs w:val="22"/>
              </w:rPr>
              <w:t>on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foundations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previous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introductory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we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learn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more </w:t>
            </w:r>
            <w:proofErr w:type="spellStart"/>
            <w:r w:rsidRPr="005B0B3C">
              <w:rPr>
                <w:sz w:val="22"/>
                <w:szCs w:val="22"/>
              </w:rPr>
              <w:t>complicated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verbal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forms</w:t>
            </w:r>
            <w:proofErr w:type="spellEnd"/>
            <w:r w:rsidRPr="005B0B3C">
              <w:rPr>
                <w:sz w:val="22"/>
                <w:szCs w:val="22"/>
              </w:rPr>
              <w:t xml:space="preserve"> like </w:t>
            </w:r>
            <w:proofErr w:type="spellStart"/>
            <w:r w:rsidRPr="005B0B3C">
              <w:rPr>
                <w:sz w:val="22"/>
                <w:szCs w:val="22"/>
              </w:rPr>
              <w:t>Aorist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Subjunctive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or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conjugation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μι-verbs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We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also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move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towards</w:t>
            </w:r>
            <w:proofErr w:type="spellEnd"/>
            <w:r w:rsidRPr="005B0B3C">
              <w:rPr>
                <w:sz w:val="22"/>
                <w:szCs w:val="22"/>
              </w:rPr>
              <w:t xml:space="preserve"> more </w:t>
            </w:r>
            <w:proofErr w:type="spellStart"/>
            <w:r w:rsidRPr="005B0B3C">
              <w:rPr>
                <w:sz w:val="22"/>
                <w:szCs w:val="22"/>
              </w:rPr>
              <w:t>advanced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syntactical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constructions</w:t>
            </w:r>
            <w:proofErr w:type="spellEnd"/>
            <w:r w:rsidRPr="005B0B3C">
              <w:rPr>
                <w:sz w:val="22"/>
                <w:szCs w:val="22"/>
              </w:rPr>
              <w:t xml:space="preserve"> (</w:t>
            </w:r>
            <w:proofErr w:type="spellStart"/>
            <w:r w:rsidRPr="005B0B3C">
              <w:rPr>
                <w:sz w:val="22"/>
                <w:szCs w:val="22"/>
              </w:rPr>
              <w:t>genitive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absolutes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anacolutha</w:t>
            </w:r>
            <w:proofErr w:type="spellEnd"/>
            <w:r w:rsidRPr="005B0B3C">
              <w:rPr>
                <w:sz w:val="22"/>
                <w:szCs w:val="22"/>
              </w:rPr>
              <w:t xml:space="preserve"> etc.). </w:t>
            </w:r>
            <w:proofErr w:type="spellStart"/>
            <w:r w:rsidRPr="005B0B3C">
              <w:rPr>
                <w:sz w:val="22"/>
                <w:szCs w:val="22"/>
              </w:rPr>
              <w:t>We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continue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memorization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complete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grammatical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units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meaningful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sentences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therefore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further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increasing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vocabulary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</w:tc>
      </w:tr>
      <w:tr w:rsidR="00AB1A2C" w:rsidRPr="005B0B3C" w14:paraId="5C4144E8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F0C84F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13529E">
              <w:rPr>
                <w:sz w:val="22"/>
                <w:szCs w:val="22"/>
              </w:rPr>
              <w:t>2-5</w:t>
            </w:r>
            <w:r w:rsidRPr="005B0B3C">
              <w:rPr>
                <w:sz w:val="22"/>
                <w:szCs w:val="22"/>
              </w:rPr>
              <w:t xml:space="preserve"> legfontosabb </w:t>
            </w:r>
            <w:r w:rsidRPr="0013529E">
              <w:rPr>
                <w:sz w:val="22"/>
                <w:szCs w:val="22"/>
              </w:rPr>
              <w:t>kötelező,</w:t>
            </w:r>
            <w:r w:rsidRPr="005B0B3C">
              <w:rPr>
                <w:sz w:val="22"/>
                <w:szCs w:val="22"/>
              </w:rPr>
              <w:t xml:space="preserve"> illetve </w:t>
            </w:r>
            <w:r w:rsidRPr="0013529E">
              <w:rPr>
                <w:sz w:val="22"/>
                <w:szCs w:val="22"/>
              </w:rPr>
              <w:t xml:space="preserve">ajánlott irodalom </w:t>
            </w:r>
            <w:r w:rsidRPr="005B0B3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B1A2C" w:rsidRPr="0013529E" w14:paraId="39F0B2B0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D59B0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Mounce</w:t>
            </w:r>
            <w:proofErr w:type="spellEnd"/>
            <w:r w:rsidRPr="005B0B3C">
              <w:rPr>
                <w:sz w:val="22"/>
                <w:szCs w:val="22"/>
              </w:rPr>
              <w:t xml:space="preserve">, W. D., </w:t>
            </w:r>
            <w:proofErr w:type="spellStart"/>
            <w:r w:rsidRPr="0013529E">
              <w:rPr>
                <w:sz w:val="22"/>
                <w:szCs w:val="22"/>
              </w:rPr>
              <w:t>Basics</w:t>
            </w:r>
            <w:proofErr w:type="spellEnd"/>
            <w:r w:rsidRPr="0013529E">
              <w:rPr>
                <w:sz w:val="22"/>
                <w:szCs w:val="22"/>
              </w:rPr>
              <w:t xml:space="preserve"> of </w:t>
            </w:r>
            <w:proofErr w:type="spellStart"/>
            <w:r w:rsidRPr="0013529E">
              <w:rPr>
                <w:sz w:val="22"/>
                <w:szCs w:val="22"/>
              </w:rPr>
              <w:t>Biblical</w:t>
            </w:r>
            <w:proofErr w:type="spellEnd"/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Greek</w:t>
            </w:r>
            <w:proofErr w:type="spellEnd"/>
            <w:r w:rsidRPr="0013529E">
              <w:rPr>
                <w:sz w:val="22"/>
                <w:szCs w:val="22"/>
              </w:rPr>
              <w:t>: Grammar</w:t>
            </w:r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Zondervan</w:t>
            </w:r>
            <w:proofErr w:type="spellEnd"/>
            <w:r w:rsidRPr="005B0B3C">
              <w:rPr>
                <w:sz w:val="22"/>
                <w:szCs w:val="22"/>
              </w:rPr>
              <w:t>, 2009.</w:t>
            </w:r>
          </w:p>
          <w:p w14:paraId="686693DF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Mounce</w:t>
            </w:r>
            <w:proofErr w:type="spellEnd"/>
            <w:r w:rsidRPr="005B0B3C">
              <w:rPr>
                <w:sz w:val="22"/>
                <w:szCs w:val="22"/>
              </w:rPr>
              <w:t xml:space="preserve">, W. D., </w:t>
            </w:r>
            <w:proofErr w:type="spellStart"/>
            <w:r w:rsidRPr="0013529E">
              <w:rPr>
                <w:sz w:val="22"/>
                <w:szCs w:val="22"/>
              </w:rPr>
              <w:t>Basics</w:t>
            </w:r>
            <w:proofErr w:type="spellEnd"/>
            <w:r w:rsidRPr="0013529E">
              <w:rPr>
                <w:sz w:val="22"/>
                <w:szCs w:val="22"/>
              </w:rPr>
              <w:t xml:space="preserve"> of </w:t>
            </w:r>
            <w:proofErr w:type="spellStart"/>
            <w:r w:rsidRPr="0013529E">
              <w:rPr>
                <w:sz w:val="22"/>
                <w:szCs w:val="22"/>
              </w:rPr>
              <w:t>Biblical</w:t>
            </w:r>
            <w:proofErr w:type="spellEnd"/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Greek</w:t>
            </w:r>
            <w:proofErr w:type="spellEnd"/>
            <w:r w:rsidRPr="0013529E">
              <w:rPr>
                <w:sz w:val="22"/>
                <w:szCs w:val="22"/>
              </w:rPr>
              <w:t xml:space="preserve">: </w:t>
            </w:r>
            <w:proofErr w:type="spellStart"/>
            <w:r w:rsidRPr="0013529E">
              <w:rPr>
                <w:sz w:val="22"/>
                <w:szCs w:val="22"/>
              </w:rPr>
              <w:t>Workbook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Zondervan</w:t>
            </w:r>
            <w:proofErr w:type="spellEnd"/>
            <w:r w:rsidRPr="005B0B3C">
              <w:rPr>
                <w:sz w:val="22"/>
                <w:szCs w:val="22"/>
              </w:rPr>
              <w:t>, 2009.</w:t>
            </w:r>
          </w:p>
          <w:p w14:paraId="4243B12C" w14:textId="77777777" w:rsidR="00AB1A2C" w:rsidRPr="0013529E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Nestle</w:t>
            </w:r>
            <w:proofErr w:type="spellEnd"/>
            <w:r w:rsidRPr="005B0B3C">
              <w:rPr>
                <w:sz w:val="22"/>
                <w:szCs w:val="22"/>
              </w:rPr>
              <w:t xml:space="preserve">, E., </w:t>
            </w:r>
            <w:proofErr w:type="spellStart"/>
            <w:r w:rsidRPr="005B0B3C">
              <w:rPr>
                <w:sz w:val="22"/>
                <w:szCs w:val="22"/>
              </w:rPr>
              <w:t>et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al</w:t>
            </w:r>
            <w:proofErr w:type="spellEnd"/>
            <w:r w:rsidRPr="005B0B3C">
              <w:rPr>
                <w:sz w:val="22"/>
                <w:szCs w:val="22"/>
              </w:rPr>
              <w:t xml:space="preserve">., </w:t>
            </w:r>
            <w:proofErr w:type="spellStart"/>
            <w:r w:rsidRPr="005B0B3C">
              <w:rPr>
                <w:sz w:val="22"/>
                <w:szCs w:val="22"/>
              </w:rPr>
              <w:t>eds</w:t>
            </w:r>
            <w:proofErr w:type="spellEnd"/>
            <w:r w:rsidRPr="005B0B3C">
              <w:rPr>
                <w:sz w:val="22"/>
                <w:szCs w:val="22"/>
              </w:rPr>
              <w:t xml:space="preserve">., </w:t>
            </w:r>
            <w:proofErr w:type="spellStart"/>
            <w:r w:rsidRPr="0013529E">
              <w:rPr>
                <w:sz w:val="22"/>
                <w:szCs w:val="22"/>
              </w:rPr>
              <w:t>Novum</w:t>
            </w:r>
            <w:proofErr w:type="spellEnd"/>
            <w:r w:rsidRPr="0013529E">
              <w:rPr>
                <w:sz w:val="22"/>
                <w:szCs w:val="22"/>
              </w:rPr>
              <w:t xml:space="preserve"> Testamentum </w:t>
            </w:r>
            <w:proofErr w:type="spellStart"/>
            <w:r w:rsidRPr="0013529E">
              <w:rPr>
                <w:sz w:val="22"/>
                <w:szCs w:val="22"/>
              </w:rPr>
              <w:t>Graece</w:t>
            </w:r>
            <w:proofErr w:type="spellEnd"/>
            <w:r w:rsidRPr="005B0B3C">
              <w:rPr>
                <w:sz w:val="22"/>
                <w:szCs w:val="22"/>
              </w:rPr>
              <w:t xml:space="preserve">, 28th </w:t>
            </w:r>
            <w:proofErr w:type="spellStart"/>
            <w:r w:rsidRPr="005B0B3C">
              <w:rPr>
                <w:sz w:val="22"/>
                <w:szCs w:val="22"/>
              </w:rPr>
              <w:t>edition</w:t>
            </w:r>
            <w:proofErr w:type="spellEnd"/>
            <w:r w:rsidRPr="005B0B3C">
              <w:rPr>
                <w:sz w:val="22"/>
                <w:szCs w:val="22"/>
              </w:rPr>
              <w:t xml:space="preserve">, Deutsche </w:t>
            </w:r>
            <w:proofErr w:type="spellStart"/>
            <w:r w:rsidRPr="005B0B3C">
              <w:rPr>
                <w:sz w:val="22"/>
                <w:szCs w:val="22"/>
              </w:rPr>
              <w:t>Bibelgesellschaft</w:t>
            </w:r>
            <w:proofErr w:type="spellEnd"/>
            <w:r w:rsidRPr="005B0B3C">
              <w:rPr>
                <w:sz w:val="22"/>
                <w:szCs w:val="22"/>
              </w:rPr>
              <w:t>, 2016.</w:t>
            </w:r>
          </w:p>
        </w:tc>
      </w:tr>
      <w:tr w:rsidR="00AB1A2C" w:rsidRPr="0013529E" w14:paraId="469A2541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03CB46" w14:textId="77777777" w:rsidR="00AB1A2C" w:rsidRPr="0013529E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Azoknak az </w:t>
            </w:r>
            <w:r w:rsidRPr="0013529E">
              <w:rPr>
                <w:sz w:val="22"/>
                <w:szCs w:val="22"/>
              </w:rPr>
              <w:t>előírt</w:t>
            </w:r>
            <w:r w:rsidRPr="005B0B3C">
              <w:rPr>
                <w:sz w:val="22"/>
                <w:szCs w:val="22"/>
              </w:rPr>
              <w:t xml:space="preserve"> s</w:t>
            </w:r>
            <w:r w:rsidRPr="0013529E">
              <w:rPr>
                <w:sz w:val="22"/>
                <w:szCs w:val="22"/>
              </w:rPr>
              <w:t>zakmai kompetenciáknak, kompetencia-elemeknek</w:t>
            </w:r>
            <w:r w:rsidRPr="005B0B3C">
              <w:rPr>
                <w:sz w:val="22"/>
                <w:szCs w:val="22"/>
              </w:rPr>
              <w:t xml:space="preserve"> </w:t>
            </w:r>
            <w:r w:rsidRPr="0013529E">
              <w:rPr>
                <w:sz w:val="22"/>
                <w:szCs w:val="22"/>
              </w:rPr>
              <w:t>(tudás, képesség</w:t>
            </w:r>
            <w:r w:rsidRPr="005B0B3C">
              <w:rPr>
                <w:sz w:val="22"/>
                <w:szCs w:val="22"/>
              </w:rPr>
              <w:t xml:space="preserve"> stb., </w:t>
            </w:r>
            <w:r w:rsidRPr="0013529E">
              <w:rPr>
                <w:sz w:val="22"/>
                <w:szCs w:val="22"/>
              </w:rPr>
              <w:t>KKK 8. pont</w:t>
            </w:r>
            <w:r w:rsidRPr="005B0B3C">
              <w:rPr>
                <w:sz w:val="22"/>
                <w:szCs w:val="22"/>
              </w:rPr>
              <w:t xml:space="preserve">) a felsorolása, </w:t>
            </w:r>
            <w:r w:rsidRPr="0013529E">
              <w:rPr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B1A2C" w:rsidRPr="005B0B3C" w14:paraId="410F7584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40CE0" w14:textId="77777777" w:rsidR="00AB1A2C" w:rsidRPr="0013529E" w:rsidRDefault="00AB1A2C" w:rsidP="002007F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 xml:space="preserve">Tudása </w:t>
            </w:r>
          </w:p>
          <w:p w14:paraId="24BEB42F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sz w:val="22"/>
                <w:szCs w:val="22"/>
              </w:rPr>
              <w:t>Understand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overall </w:t>
            </w:r>
            <w:proofErr w:type="spellStart"/>
            <w:r w:rsidRPr="005B0B3C">
              <w:rPr>
                <w:sz w:val="22"/>
                <w:szCs w:val="22"/>
              </w:rPr>
              <w:t>morphological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system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Biblical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Greek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43133B80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2. </w:t>
            </w:r>
            <w:proofErr w:type="spellStart"/>
            <w:r w:rsidRPr="005B0B3C">
              <w:rPr>
                <w:sz w:val="22"/>
                <w:szCs w:val="22"/>
              </w:rPr>
              <w:t>Know</w:t>
            </w:r>
            <w:proofErr w:type="spellEnd"/>
            <w:r w:rsidRPr="005B0B3C">
              <w:rPr>
                <w:sz w:val="22"/>
                <w:szCs w:val="22"/>
              </w:rPr>
              <w:t xml:space="preserve"> cca. 1000 </w:t>
            </w:r>
            <w:proofErr w:type="spellStart"/>
            <w:r w:rsidRPr="005B0B3C">
              <w:rPr>
                <w:sz w:val="22"/>
                <w:szCs w:val="22"/>
              </w:rPr>
              <w:t>Greek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words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53DE81D4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3. </w:t>
            </w:r>
            <w:proofErr w:type="spellStart"/>
            <w:r w:rsidRPr="005B0B3C">
              <w:rPr>
                <w:sz w:val="22"/>
                <w:szCs w:val="22"/>
              </w:rPr>
              <w:t>Translate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with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dictionary</w:t>
            </w:r>
            <w:proofErr w:type="spellEnd"/>
            <w:r w:rsidRPr="005B0B3C">
              <w:rPr>
                <w:sz w:val="22"/>
                <w:szCs w:val="22"/>
              </w:rPr>
              <w:t xml:space="preserve"> more </w:t>
            </w:r>
            <w:proofErr w:type="spellStart"/>
            <w:r w:rsidRPr="005B0B3C">
              <w:rPr>
                <w:sz w:val="22"/>
                <w:szCs w:val="22"/>
              </w:rPr>
              <w:t>compicated</w:t>
            </w:r>
            <w:proofErr w:type="spellEnd"/>
            <w:r w:rsidRPr="005B0B3C">
              <w:rPr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sz w:val="22"/>
                <w:szCs w:val="22"/>
              </w:rPr>
              <w:t>Greek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sentences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1A27842D" w14:textId="77777777" w:rsidR="00AB1A2C" w:rsidRPr="0013529E" w:rsidRDefault="00AB1A2C" w:rsidP="002007F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 xml:space="preserve">Képességei </w:t>
            </w:r>
          </w:p>
          <w:p w14:paraId="790663DF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sz w:val="22"/>
                <w:szCs w:val="22"/>
              </w:rPr>
              <w:t>Discern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patterns</w:t>
            </w:r>
            <w:proofErr w:type="spellEnd"/>
            <w:r w:rsidRPr="005B0B3C">
              <w:rPr>
                <w:sz w:val="22"/>
                <w:szCs w:val="22"/>
              </w:rPr>
              <w:t xml:space="preserve"> of</w:t>
            </w:r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B</w:t>
            </w:r>
            <w:r w:rsidRPr="005B0B3C">
              <w:rPr>
                <w:sz w:val="22"/>
                <w:szCs w:val="22"/>
              </w:rPr>
              <w:t>iblical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Greek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way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thinking</w:t>
            </w:r>
            <w:proofErr w:type="spellEnd"/>
          </w:p>
          <w:p w14:paraId="053264B1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2. </w:t>
            </w:r>
            <w:proofErr w:type="spellStart"/>
            <w:r w:rsidRPr="005B0B3C">
              <w:rPr>
                <w:sz w:val="22"/>
                <w:szCs w:val="22"/>
              </w:rPr>
              <w:t>Use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commentaries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dictionaries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well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other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advanced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tools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794D8562" w14:textId="77777777" w:rsidR="00AB1A2C" w:rsidRPr="0013529E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3. </w:t>
            </w:r>
            <w:proofErr w:type="spellStart"/>
            <w:r w:rsidRPr="005B0B3C">
              <w:rPr>
                <w:sz w:val="22"/>
                <w:szCs w:val="22"/>
              </w:rPr>
              <w:t>Ability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engage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exegetical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tasks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2E02EB73" w14:textId="77777777" w:rsidR="00AB1A2C" w:rsidRPr="005B0B3C" w:rsidRDefault="00AB1A2C" w:rsidP="002007F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617AB75F" w14:textId="77777777" w:rsidR="006320DD" w:rsidRDefault="006320DD"/>
    <w:sectPr w:rsidR="0063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81E6" w14:textId="77777777" w:rsidR="00AB1A2C" w:rsidRDefault="00AB1A2C" w:rsidP="00AB1A2C">
      <w:r>
        <w:separator/>
      </w:r>
    </w:p>
  </w:endnote>
  <w:endnote w:type="continuationSeparator" w:id="0">
    <w:p w14:paraId="675AFE72" w14:textId="77777777" w:rsidR="00AB1A2C" w:rsidRDefault="00AB1A2C" w:rsidP="00A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62D2" w14:textId="77777777" w:rsidR="00AB1A2C" w:rsidRDefault="00AB1A2C" w:rsidP="00AB1A2C">
      <w:r>
        <w:separator/>
      </w:r>
    </w:p>
  </w:footnote>
  <w:footnote w:type="continuationSeparator" w:id="0">
    <w:p w14:paraId="17F3D661" w14:textId="77777777" w:rsidR="00AB1A2C" w:rsidRDefault="00AB1A2C" w:rsidP="00AB1A2C">
      <w:r>
        <w:continuationSeparator/>
      </w:r>
    </w:p>
  </w:footnote>
  <w:footnote w:id="1">
    <w:p w14:paraId="091C2186" w14:textId="77777777" w:rsidR="00AB1A2C" w:rsidRPr="0003723C" w:rsidRDefault="00AB1A2C" w:rsidP="00AB1A2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BD6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899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C"/>
    <w:rsid w:val="006320DD"/>
    <w:rsid w:val="00A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0C4"/>
  <w15:chartTrackingRefBased/>
  <w15:docId w15:val="{67369D8C-5227-4452-AB5C-7E37ED3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qFormat/>
    <w:rsid w:val="00AB1A2C"/>
  </w:style>
  <w:style w:type="character" w:customStyle="1" w:styleId="LbjegyzetszvegChar">
    <w:name w:val="Lábjegyzetszöveg Char"/>
    <w:basedOn w:val="Bekezdsalapbettpusa"/>
    <w:link w:val="Lbjegyzetszveg"/>
    <w:qFormat/>
    <w:rsid w:val="00AB1A2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2194</Characters>
  <Application>Microsoft Office Word</Application>
  <DocSecurity>0</DocSecurity>
  <Lines>18</Lines>
  <Paragraphs>5</Paragraphs>
  <ScaleCrop>false</ScaleCrop>
  <Company>Károli Gáspár Református Egyetem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Kocsev Miklós</dc:creator>
  <cp:keywords/>
  <dc:description/>
  <cp:lastModifiedBy>Dr. Kocsev Miklós</cp:lastModifiedBy>
  <cp:revision>1</cp:revision>
  <dcterms:created xsi:type="dcterms:W3CDTF">2022-11-08T13:59:00Z</dcterms:created>
  <dcterms:modified xsi:type="dcterms:W3CDTF">2022-11-08T14:00:00Z</dcterms:modified>
</cp:coreProperties>
</file>